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0FF44" w14:textId="77777777" w:rsidR="00EF14E7" w:rsidRDefault="00EF14E7" w:rsidP="001B6593">
      <w:bookmarkStart w:id="0" w:name="_Hlk521945910"/>
    </w:p>
    <w:p w14:paraId="0FA5D25F" w14:textId="77777777" w:rsidR="00EF14E7" w:rsidRDefault="00EF14E7" w:rsidP="001B6593"/>
    <w:p w14:paraId="1D4E27C3" w14:textId="72FDDA1F" w:rsidR="00A900E3" w:rsidRPr="001B6593" w:rsidRDefault="00A900E3" w:rsidP="001B6593">
      <w:r w:rsidRPr="005F6E11">
        <w:t>DPC/S6.10</w:t>
      </w:r>
    </w:p>
    <w:p w14:paraId="5A581597" w14:textId="77777777" w:rsidR="00A900E3" w:rsidRPr="005F6E11" w:rsidRDefault="00A900E3" w:rsidP="00A900E3">
      <w:r>
        <w:t>ACROSS GOVERNMENT POLICY</w:t>
      </w:r>
    </w:p>
    <w:p w14:paraId="00413314" w14:textId="77777777" w:rsidR="00A900E3" w:rsidRPr="007F0198" w:rsidRDefault="00A900E3" w:rsidP="00A900E3">
      <w:pPr>
        <w:pStyle w:val="Title"/>
      </w:pPr>
      <w:r>
        <w:t>South Australian Government Electronic Messaging Service (SAGEMS) naming standards</w:t>
      </w:r>
    </w:p>
    <w:p w14:paraId="605124FC" w14:textId="77777777" w:rsidR="00A900E3" w:rsidRPr="008D4DEF" w:rsidRDefault="00A900E3" w:rsidP="00A900E3">
      <w:pPr>
        <w:pStyle w:val="Heading1"/>
      </w:pPr>
      <w:bookmarkStart w:id="1" w:name="_Toc465420079"/>
      <w:bookmarkStart w:id="2" w:name="_Toc468713023"/>
      <w:bookmarkEnd w:id="0"/>
      <w:r w:rsidRPr="008D4DEF">
        <w:t>Background</w:t>
      </w:r>
      <w:bookmarkEnd w:id="1"/>
      <w:bookmarkEnd w:id="2"/>
    </w:p>
    <w:p w14:paraId="2404C386" w14:textId="77777777" w:rsidR="00A900E3" w:rsidRDefault="00A900E3" w:rsidP="00A900E3">
      <w:pPr>
        <w:pStyle w:val="-Normal-"/>
      </w:pPr>
      <w:r>
        <w:t>The SA Government email address is used as authorisation criteria and is considered the one unique identifier across government. Consistent naming of email addresses is necessary to ensure their unique allocation and to facilitate the provision of government-wide security.</w:t>
      </w:r>
    </w:p>
    <w:p w14:paraId="65CDA3B9" w14:textId="77777777" w:rsidR="00A900E3" w:rsidRDefault="00A900E3" w:rsidP="00A900E3">
      <w:pPr>
        <w:pStyle w:val="BodyText2"/>
        <w:ind w:left="0"/>
        <w:jc w:val="both"/>
      </w:pPr>
      <w:r>
        <w:t>Email addresses are allocated on creation of new mailboxes or when migration of mailboxes to new infrastructure occurs.</w:t>
      </w:r>
    </w:p>
    <w:p w14:paraId="1D0EEB51" w14:textId="77777777" w:rsidR="00A900E3" w:rsidRPr="00EA233B" w:rsidRDefault="00A900E3" w:rsidP="00A900E3">
      <w:pPr>
        <w:pStyle w:val="Heading1"/>
      </w:pPr>
      <w:bookmarkStart w:id="3" w:name="_Toc468713024"/>
      <w:r w:rsidRPr="00EA233B">
        <w:t>Exemptions</w:t>
      </w:r>
      <w:bookmarkEnd w:id="3"/>
    </w:p>
    <w:p w14:paraId="6066469C" w14:textId="2DA604F3" w:rsidR="00A900E3" w:rsidRPr="00825C5A" w:rsidRDefault="00A900E3" w:rsidP="00A900E3">
      <w:pPr>
        <w:pStyle w:val="-Normal-"/>
        <w:rPr>
          <w:rFonts w:cs="Arial"/>
          <w:i/>
        </w:rPr>
      </w:pPr>
      <w:r w:rsidRPr="00E95CC7">
        <w:t>Advice regarding</w:t>
      </w:r>
      <w:r w:rsidRPr="001320D2">
        <w:t xml:space="preserve"> exemptions from these standards is provided in</w:t>
      </w:r>
      <w:r>
        <w:t xml:space="preserve"> </w:t>
      </w:r>
      <w:hyperlink r:id="rId9" w:history="1">
        <w:r w:rsidR="001B6593" w:rsidRPr="001B6593">
          <w:rPr>
            <w:rStyle w:val="Hyperlink"/>
            <w:rFonts w:cs="Arial"/>
            <w:szCs w:val="22"/>
            <w:u w:val="single"/>
          </w:rPr>
          <w:t>ICT Ruling 1 Exemptions</w:t>
        </w:r>
      </w:hyperlink>
    </w:p>
    <w:p w14:paraId="4EAFB3C0" w14:textId="77777777" w:rsidR="00A900E3" w:rsidRDefault="00A900E3" w:rsidP="00A900E3">
      <w:pPr>
        <w:pStyle w:val="-Normal-"/>
      </w:pPr>
      <w:r w:rsidRPr="004E13EA">
        <w:t xml:space="preserve">Agencies wanting a Primary Domain Name representing their portfolio </w:t>
      </w:r>
      <w:r>
        <w:t>or a Primary Domain Name for a G</w:t>
      </w:r>
      <w:r w:rsidRPr="004E13EA">
        <w:t xml:space="preserve">eneric </w:t>
      </w:r>
      <w:r>
        <w:t>M</w:t>
      </w:r>
      <w:r w:rsidRPr="004E13EA">
        <w:t xml:space="preserve">ailbox that doesn’t represent the function of the mailbox name must adhere to the </w:t>
      </w:r>
      <w:r>
        <w:t xml:space="preserve">exemptions policy and submit </w:t>
      </w:r>
      <w:r w:rsidRPr="004E13EA">
        <w:t>an on-line Exemption Form for approval.</w:t>
      </w:r>
    </w:p>
    <w:p w14:paraId="458FA7DD" w14:textId="77777777" w:rsidR="00A900E3" w:rsidRPr="00EA233B" w:rsidRDefault="00A900E3" w:rsidP="00A900E3">
      <w:pPr>
        <w:pStyle w:val="Heading1"/>
      </w:pPr>
      <w:bookmarkStart w:id="4" w:name="_Toc468713025"/>
      <w:r w:rsidRPr="00EA233B">
        <w:t>Responsibilities</w:t>
      </w:r>
      <w:bookmarkEnd w:id="4"/>
    </w:p>
    <w:p w14:paraId="33279E54" w14:textId="39F58802" w:rsidR="00A900E3" w:rsidRPr="00B31E19" w:rsidRDefault="00A900E3" w:rsidP="00A900E3">
      <w:pPr>
        <w:pStyle w:val="-Normal-"/>
      </w:pPr>
      <w:r w:rsidRPr="00C504ED">
        <w:t xml:space="preserve">South Australian public authorities required to adhere to this </w:t>
      </w:r>
      <w:r>
        <w:t xml:space="preserve">standard are defined in </w:t>
      </w:r>
      <w:hyperlink r:id="rId10" w:history="1">
        <w:r w:rsidR="001B6593">
          <w:rPr>
            <w:rStyle w:val="Hyperlink"/>
            <w:szCs w:val="22"/>
            <w:u w:val="single"/>
          </w:rPr>
          <w:t>ICT Policy Statement 1 Compliant Authorities</w:t>
        </w:r>
      </w:hyperlink>
      <w:r w:rsidRPr="00B31E19">
        <w:t>.</w:t>
      </w:r>
    </w:p>
    <w:p w14:paraId="11F1DC94" w14:textId="77777777" w:rsidR="00A900E3" w:rsidRPr="001320D2" w:rsidRDefault="00A900E3" w:rsidP="00A900E3">
      <w:pPr>
        <w:pStyle w:val="-Normal-"/>
      </w:pPr>
      <w:r w:rsidRPr="001320D2">
        <w:t>Chief Executives are responsible for ensuring compliance of their organisations with this standard.</w:t>
      </w:r>
    </w:p>
    <w:p w14:paraId="06A7C800" w14:textId="77777777" w:rsidR="00A900E3" w:rsidRPr="00EA233B" w:rsidRDefault="00A900E3" w:rsidP="00A900E3">
      <w:pPr>
        <w:pStyle w:val="Heading1"/>
      </w:pPr>
      <w:bookmarkStart w:id="5" w:name="_Toc465420081"/>
      <w:bookmarkStart w:id="6" w:name="_Toc468713027"/>
      <w:r w:rsidRPr="00EA233B">
        <w:t xml:space="preserve">Email </w:t>
      </w:r>
      <w:r>
        <w:t>a</w:t>
      </w:r>
      <w:r w:rsidRPr="00EA233B">
        <w:t xml:space="preserve">ddress </w:t>
      </w:r>
      <w:r>
        <w:t>n</w:t>
      </w:r>
      <w:r w:rsidRPr="00EA233B">
        <w:t>ames</w:t>
      </w:r>
      <w:bookmarkEnd w:id="5"/>
      <w:bookmarkEnd w:id="6"/>
    </w:p>
    <w:p w14:paraId="6DB05E3F" w14:textId="77777777" w:rsidR="00A900E3" w:rsidRPr="001F2512" w:rsidRDefault="00A900E3" w:rsidP="00A900E3">
      <w:pPr>
        <w:pStyle w:val="-Normal-"/>
      </w:pPr>
      <w:r w:rsidRPr="001F2512">
        <w:t>The whole-of-government messaging service will comprise a standard Internet style address in the format below:</w:t>
      </w:r>
    </w:p>
    <w:p w14:paraId="221C8436" w14:textId="52B92596" w:rsidR="00A900E3" w:rsidRPr="00CE1636" w:rsidRDefault="00A900E3" w:rsidP="00A900E3">
      <w:pPr>
        <w:ind w:left="720"/>
        <w:jc w:val="both"/>
        <w:rPr>
          <w:rStyle w:val="Hyperlink"/>
          <w:color w:val="auto"/>
        </w:rPr>
      </w:pPr>
      <w:r w:rsidRPr="00CE1636">
        <w:rPr>
          <w:rStyle w:val="Hyperlink"/>
          <w:color w:val="auto"/>
        </w:rPr>
        <w:t>firstname.</w:t>
      </w:r>
      <w:r w:rsidRPr="00CE1636">
        <w:t>lastname+sequence@sa.gov.au</w:t>
      </w:r>
    </w:p>
    <w:p w14:paraId="3B08BFB1" w14:textId="77777777" w:rsidR="00A900E3" w:rsidRPr="001F2512" w:rsidRDefault="00A900E3" w:rsidP="00A900E3">
      <w:pPr>
        <w:pStyle w:val="-Normal-"/>
      </w:pPr>
      <w:r w:rsidRPr="001F2512">
        <w:t>A user must have one primary email address</w:t>
      </w:r>
      <w:r>
        <w:t xml:space="preserve"> (SMTP)</w:t>
      </w:r>
      <w:r w:rsidRPr="001F2512">
        <w:t xml:space="preserve"> and may have up to </w:t>
      </w:r>
      <w:r>
        <w:t>five secondary addresses.</w:t>
      </w:r>
    </w:p>
    <w:p w14:paraId="59AECC5B" w14:textId="6AE80410" w:rsidR="00A900E3" w:rsidRPr="001F2512" w:rsidRDefault="00A900E3" w:rsidP="00A900E3">
      <w:pPr>
        <w:pStyle w:val="-Normal-"/>
      </w:pPr>
      <w:bookmarkStart w:id="7" w:name="_Toc398641091"/>
      <w:r w:rsidRPr="001F2512">
        <w:t>A unique Primary SMTP address will be generated by using the following rules:</w:t>
      </w:r>
      <w:bookmarkEnd w:id="7"/>
    </w:p>
    <w:p w14:paraId="21E29DD8" w14:textId="1B45F19E" w:rsidR="00A900E3" w:rsidRPr="001F2512" w:rsidRDefault="00A900E3" w:rsidP="00A900E3">
      <w:pPr>
        <w:pStyle w:val="NumberedList"/>
        <w:spacing w:before="0" w:after="120"/>
        <w:ind w:left="568" w:hanging="284"/>
      </w:pPr>
      <w:bookmarkStart w:id="8" w:name="_Toc398641092"/>
      <w:r>
        <w:t>firstname.lastname@sa.gov.au</w:t>
      </w:r>
      <w:bookmarkEnd w:id="8"/>
    </w:p>
    <w:p w14:paraId="0DCE38B2" w14:textId="3680F9F0" w:rsidR="00A900E3" w:rsidRPr="001F2512" w:rsidRDefault="00A900E3" w:rsidP="00A900E3">
      <w:pPr>
        <w:pStyle w:val="NumberedList"/>
        <w:spacing w:before="0" w:after="120"/>
        <w:ind w:left="568" w:hanging="284"/>
      </w:pPr>
      <w:bookmarkStart w:id="9" w:name="_Toc398641093"/>
      <w:r>
        <w:t>firstname.lastname+middleinitial@sa.gov.au</w:t>
      </w:r>
      <w:bookmarkEnd w:id="9"/>
    </w:p>
    <w:p w14:paraId="3B61B43E" w14:textId="77777777" w:rsidR="00A900E3" w:rsidRPr="001F2512" w:rsidRDefault="00A900E3" w:rsidP="00A900E3">
      <w:pPr>
        <w:pStyle w:val="NumberedList"/>
        <w:spacing w:before="0" w:after="120"/>
        <w:ind w:left="568" w:hanging="284"/>
      </w:pPr>
      <w:bookmarkStart w:id="10" w:name="_Toc398641094"/>
      <w:r>
        <w:lastRenderedPageBreak/>
        <w:t>firstname.lastname+number@sa.gov.au</w:t>
      </w:r>
      <w:bookmarkEnd w:id="10"/>
    </w:p>
    <w:p w14:paraId="2E4C957A" w14:textId="77777777" w:rsidR="00A900E3" w:rsidRPr="00D7553E" w:rsidRDefault="00A900E3" w:rsidP="00A900E3">
      <w:pPr>
        <w:pStyle w:val="-Normal-"/>
      </w:pPr>
      <w:r w:rsidRPr="00D7553E">
        <w:t>where</w:t>
      </w:r>
    </w:p>
    <w:p w14:paraId="4B0F32D3" w14:textId="77777777" w:rsidR="00A900E3" w:rsidRPr="001F2512" w:rsidRDefault="00A900E3" w:rsidP="00A900E3">
      <w:pPr>
        <w:spacing w:after="120"/>
        <w:ind w:left="568" w:hanging="284"/>
        <w:jc w:val="both"/>
      </w:pPr>
      <w:r>
        <w:t>‘f</w:t>
      </w:r>
      <w:r w:rsidRPr="001F2512">
        <w:t>irstname</w:t>
      </w:r>
      <w:r>
        <w:t>’</w:t>
      </w:r>
      <w:r w:rsidRPr="001F2512">
        <w:t xml:space="preserve"> is the user’s given name</w:t>
      </w:r>
    </w:p>
    <w:p w14:paraId="211DA9C3" w14:textId="77777777" w:rsidR="00A900E3" w:rsidRDefault="00A900E3" w:rsidP="00A900E3">
      <w:pPr>
        <w:spacing w:after="120"/>
        <w:ind w:left="568" w:hanging="284"/>
        <w:jc w:val="both"/>
      </w:pPr>
      <w:r>
        <w:t>‘l</w:t>
      </w:r>
      <w:r w:rsidRPr="001F2512">
        <w:t>astname</w:t>
      </w:r>
      <w:r>
        <w:t>’</w:t>
      </w:r>
      <w:r w:rsidRPr="001F2512">
        <w:t xml:space="preserve"> is the user’s family name</w:t>
      </w:r>
    </w:p>
    <w:p w14:paraId="0A0660E7" w14:textId="77777777" w:rsidR="00A900E3" w:rsidRPr="001F2512" w:rsidRDefault="00A900E3" w:rsidP="00A900E3">
      <w:pPr>
        <w:spacing w:after="120"/>
        <w:ind w:left="568" w:hanging="284"/>
        <w:jc w:val="both"/>
      </w:pPr>
      <w:r>
        <w:t>‘middleinitial’ is the user’s second given name</w:t>
      </w:r>
    </w:p>
    <w:p w14:paraId="31C04733" w14:textId="77777777" w:rsidR="00A900E3" w:rsidRDefault="00A900E3" w:rsidP="00A900E3">
      <w:pPr>
        <w:spacing w:after="120"/>
        <w:ind w:left="284"/>
        <w:jc w:val="both"/>
      </w:pPr>
      <w:r w:rsidRPr="001F2512">
        <w:t>‘</w:t>
      </w:r>
      <w:r>
        <w:t>s</w:t>
      </w:r>
      <w:r w:rsidRPr="001F2512">
        <w:t>equence’ is to be included only if there are two or more people with the same name and must be either an alphabetical character o</w:t>
      </w:r>
      <w:r>
        <w:t>r a single numerical character.</w:t>
      </w:r>
    </w:p>
    <w:p w14:paraId="38783BBB" w14:textId="77777777" w:rsidR="00A900E3" w:rsidRPr="001F2512" w:rsidRDefault="00A900E3" w:rsidP="00A900E3">
      <w:pPr>
        <w:spacing w:after="120"/>
        <w:ind w:left="284"/>
        <w:jc w:val="both"/>
      </w:pPr>
      <w:r w:rsidRPr="001F2512">
        <w:t>Where there are more than 9 people with the same name, 2 numerical digits may be used to ensure uniqueness across the public service.</w:t>
      </w:r>
    </w:p>
    <w:p w14:paraId="7798445B" w14:textId="77777777" w:rsidR="00A900E3" w:rsidRPr="00D7553E" w:rsidRDefault="00A900E3" w:rsidP="00A900E3">
      <w:pPr>
        <w:pStyle w:val="Heading3"/>
      </w:pPr>
      <w:r w:rsidRPr="00D7553E">
        <w:t>Example</w:t>
      </w:r>
    </w:p>
    <w:p w14:paraId="27834594" w14:textId="77777777" w:rsidR="00A900E3" w:rsidRPr="001B6593" w:rsidRDefault="00A900E3" w:rsidP="00A900E3">
      <w:pPr>
        <w:spacing w:before="120" w:after="120"/>
        <w:ind w:left="284"/>
        <w:jc w:val="both"/>
        <w:rPr>
          <w:rStyle w:val="Hyperlink"/>
          <w:color w:val="auto"/>
        </w:rPr>
      </w:pPr>
      <w:r w:rsidRPr="001B6593">
        <w:rPr>
          <w:rStyle w:val="Hyperlink"/>
          <w:color w:val="auto"/>
        </w:rPr>
        <w:t>andrew.abbott@sa.gov.au</w:t>
      </w:r>
    </w:p>
    <w:p w14:paraId="7211159B" w14:textId="77777777" w:rsidR="00A900E3" w:rsidRPr="001B6593" w:rsidRDefault="00A900E3" w:rsidP="00A900E3">
      <w:pPr>
        <w:spacing w:after="120"/>
        <w:ind w:left="284"/>
        <w:jc w:val="both"/>
        <w:rPr>
          <w:rStyle w:val="Hyperlink"/>
          <w:color w:val="auto"/>
        </w:rPr>
      </w:pPr>
      <w:r w:rsidRPr="001B6593">
        <w:rPr>
          <w:rStyle w:val="Hyperlink"/>
          <w:color w:val="auto"/>
        </w:rPr>
        <w:t>william.bloggsC@sa.gov.au</w:t>
      </w:r>
    </w:p>
    <w:p w14:paraId="1476C928" w14:textId="77777777" w:rsidR="00A900E3" w:rsidRPr="001B6593" w:rsidRDefault="00A900E3" w:rsidP="00A900E3">
      <w:pPr>
        <w:spacing w:after="120"/>
        <w:ind w:left="284"/>
        <w:jc w:val="both"/>
        <w:rPr>
          <w:rStyle w:val="Hyperlink"/>
          <w:color w:val="auto"/>
        </w:rPr>
      </w:pPr>
      <w:r w:rsidRPr="001B6593">
        <w:rPr>
          <w:rStyle w:val="Hyperlink"/>
          <w:color w:val="auto"/>
        </w:rPr>
        <w:t>jane.smith3@sa.gov.au</w:t>
      </w:r>
    </w:p>
    <w:p w14:paraId="2C0FC219" w14:textId="77777777" w:rsidR="00A900E3" w:rsidRPr="001F2512" w:rsidRDefault="00A900E3" w:rsidP="00A900E3">
      <w:pPr>
        <w:pStyle w:val="-Normal-"/>
      </w:pPr>
      <w:bookmarkStart w:id="11" w:name="_Toc398641095"/>
      <w:r w:rsidRPr="001F2512">
        <w:t xml:space="preserve">NB: Number can be </w:t>
      </w:r>
      <w:r>
        <w:t>one</w:t>
      </w:r>
      <w:r w:rsidRPr="001F2512">
        <w:t xml:space="preserve"> or </w:t>
      </w:r>
      <w:r>
        <w:t>two</w:t>
      </w:r>
      <w:r w:rsidRPr="001F2512">
        <w:t xml:space="preserve"> digits. The plus (+) symbol </w:t>
      </w:r>
      <w:r w:rsidRPr="00B7131B">
        <w:rPr>
          <w:u w:val="single"/>
        </w:rPr>
        <w:t>must not</w:t>
      </w:r>
      <w:r w:rsidRPr="001F2512">
        <w:t xml:space="preserve"> be included in the email address.</w:t>
      </w:r>
      <w:bookmarkEnd w:id="11"/>
    </w:p>
    <w:p w14:paraId="73960641" w14:textId="77777777" w:rsidR="00A900E3" w:rsidRPr="001F2512" w:rsidRDefault="00A900E3" w:rsidP="00A900E3">
      <w:pPr>
        <w:pStyle w:val="-Normal-"/>
      </w:pPr>
      <w:r w:rsidRPr="001F2512">
        <w:t xml:space="preserve">The domain </w:t>
      </w:r>
      <w:r w:rsidRPr="001F2512">
        <w:rPr>
          <w:b/>
        </w:rPr>
        <w:t xml:space="preserve">@sa.gov.au </w:t>
      </w:r>
      <w:r w:rsidRPr="001F2512">
        <w:t>will identify all electronic mail passing through the South Australian Government Messaging Service</w:t>
      </w:r>
      <w:r>
        <w:t xml:space="preserve"> (SAGEMS)</w:t>
      </w:r>
      <w:r w:rsidRPr="001F2512">
        <w:t xml:space="preserve">. There </w:t>
      </w:r>
      <w:r>
        <w:t>is</w:t>
      </w:r>
      <w:r w:rsidRPr="001F2512">
        <w:t xml:space="preserve"> no requirement to include the name of an agency in the electronic mail address. This </w:t>
      </w:r>
      <w:r>
        <w:t>naming standard</w:t>
      </w:r>
      <w:r w:rsidRPr="001F2512">
        <w:t xml:space="preserve"> avoid</w:t>
      </w:r>
      <w:r>
        <w:t>s</w:t>
      </w:r>
      <w:r w:rsidRPr="001F2512">
        <w:t xml:space="preserve"> the need to make changes should agency name changes occur or a person moves from one agency to another within the South Australian Public Service.</w:t>
      </w:r>
    </w:p>
    <w:p w14:paraId="5D7AEF43" w14:textId="77777777" w:rsidR="00A900E3" w:rsidRPr="001A0367" w:rsidRDefault="00A900E3" w:rsidP="00A900E3">
      <w:pPr>
        <w:pStyle w:val="-Normal-"/>
      </w:pPr>
      <w:r w:rsidRPr="001F2512">
        <w:t xml:space="preserve">Service </w:t>
      </w:r>
      <w:r>
        <w:t>d</w:t>
      </w:r>
      <w:r w:rsidRPr="001F2512">
        <w:t xml:space="preserve">esks </w:t>
      </w:r>
      <w:r>
        <w:t xml:space="preserve">must enter a unique </w:t>
      </w:r>
      <w:r w:rsidRPr="001F2512">
        <w:t xml:space="preserve">SMTP address (Internet email address) </w:t>
      </w:r>
      <w:r>
        <w:t xml:space="preserve">into the Active Directory ‘email address’ field after first checking the Global Address List (GAL) to ensure no duplication occurs. </w:t>
      </w:r>
      <w:r w:rsidRPr="001F2512">
        <w:t xml:space="preserve">Should </w:t>
      </w:r>
      <w:r>
        <w:t>s</w:t>
      </w:r>
      <w:r w:rsidRPr="001F2512">
        <w:t xml:space="preserve">ervice </w:t>
      </w:r>
      <w:r>
        <w:t>d</w:t>
      </w:r>
      <w:r w:rsidRPr="001F2512">
        <w:t>esks not be able to create the standard address shown as the first address on the list below, due to duplicate names on the GAL, they will try options 2 &amp; 3 below</w:t>
      </w:r>
      <w:r>
        <w:t xml:space="preserve"> until successful.</w:t>
      </w:r>
    </w:p>
    <w:p w14:paraId="5039BCB9" w14:textId="45A45F32" w:rsidR="00A900E3" w:rsidRPr="00EA233B" w:rsidRDefault="00A900E3" w:rsidP="00A900E3">
      <w:pPr>
        <w:pStyle w:val="Heading1"/>
      </w:pPr>
      <w:bookmarkStart w:id="12" w:name="_Toc468713028"/>
      <w:bookmarkStart w:id="13" w:name="_Toc398641096"/>
      <w:bookmarkStart w:id="14" w:name="_Toc465420082"/>
      <w:r w:rsidRPr="00EA233B">
        <w:t xml:space="preserve">Secondary </w:t>
      </w:r>
      <w:r w:rsidR="001950DD">
        <w:t>a</w:t>
      </w:r>
      <w:r w:rsidRPr="00EA233B">
        <w:t>ddresses</w:t>
      </w:r>
      <w:bookmarkEnd w:id="12"/>
      <w:bookmarkEnd w:id="13"/>
      <w:bookmarkEnd w:id="14"/>
    </w:p>
    <w:p w14:paraId="5209E7D0" w14:textId="77777777" w:rsidR="00A900E3" w:rsidRPr="003405D8" w:rsidRDefault="00A900E3" w:rsidP="00A900E3">
      <w:pPr>
        <w:pStyle w:val="-Normal-"/>
      </w:pPr>
      <w:r w:rsidRPr="003405D8">
        <w:t>A user must have one primary email address</w:t>
      </w:r>
      <w:r>
        <w:t xml:space="preserve"> and may have up to five secondary addresses.</w:t>
      </w:r>
    </w:p>
    <w:p w14:paraId="610EF1E6" w14:textId="77777777" w:rsidR="00A900E3" w:rsidRPr="003405D8" w:rsidRDefault="00A900E3" w:rsidP="00A900E3">
      <w:pPr>
        <w:pStyle w:val="-Normal-"/>
      </w:pPr>
      <w:bookmarkStart w:id="15" w:name="_Toc398641097"/>
      <w:r w:rsidRPr="003405D8">
        <w:t>The secondary inte</w:t>
      </w:r>
      <w:r>
        <w:t>rnet email address consists of two</w:t>
      </w:r>
      <w:r w:rsidRPr="003405D8">
        <w:t xml:space="preserve"> parts:</w:t>
      </w:r>
      <w:bookmarkEnd w:id="15"/>
    </w:p>
    <w:p w14:paraId="1562EE82" w14:textId="77777777" w:rsidR="00A900E3" w:rsidRPr="00A621C4" w:rsidRDefault="00A900E3" w:rsidP="00A900E3">
      <w:pPr>
        <w:pStyle w:val="ListParagraph"/>
        <w:ind w:left="568" w:hanging="284"/>
      </w:pPr>
      <w:bookmarkStart w:id="16" w:name="_Toc398641098"/>
      <w:r w:rsidRPr="003405D8">
        <w:t xml:space="preserve">The </w:t>
      </w:r>
      <w:r w:rsidRPr="00A621C4">
        <w:t>user’s name (the part of the address before the @ symbol)</w:t>
      </w:r>
      <w:bookmarkEnd w:id="16"/>
    </w:p>
    <w:p w14:paraId="0F649E90" w14:textId="77777777" w:rsidR="00A900E3" w:rsidRDefault="00A900E3" w:rsidP="00A900E3">
      <w:pPr>
        <w:pStyle w:val="ListParagraph"/>
        <w:ind w:left="568" w:hanging="284"/>
      </w:pPr>
      <w:bookmarkStart w:id="17" w:name="_Toc398641099"/>
      <w:r w:rsidRPr="00A621C4">
        <w:t>The domai</w:t>
      </w:r>
      <w:r w:rsidRPr="003405D8">
        <w:t>n name being the part after and including the @symbol.</w:t>
      </w:r>
      <w:bookmarkEnd w:id="17"/>
    </w:p>
    <w:p w14:paraId="2223A9AB" w14:textId="77777777" w:rsidR="00A900E3" w:rsidRPr="003405D8" w:rsidRDefault="00A900E3" w:rsidP="00A900E3">
      <w:pPr>
        <w:pStyle w:val="-Normal-"/>
      </w:pPr>
      <w:bookmarkStart w:id="18" w:name="_Toc398641100"/>
      <w:r w:rsidRPr="003405D8">
        <w:t>The format of the user name may be:</w:t>
      </w:r>
      <w:bookmarkEnd w:id="18"/>
    </w:p>
    <w:p w14:paraId="4D30D72B" w14:textId="77777777" w:rsidR="00A900E3" w:rsidRPr="003405D8" w:rsidRDefault="00A900E3" w:rsidP="00A900E3">
      <w:pPr>
        <w:spacing w:after="120"/>
        <w:ind w:left="284"/>
        <w:jc w:val="both"/>
      </w:pPr>
      <w:bookmarkStart w:id="19" w:name="_Toc398641101"/>
      <w:r>
        <w:t>f</w:t>
      </w:r>
      <w:r w:rsidRPr="003405D8">
        <w:t>irstname.</w:t>
      </w:r>
      <w:r>
        <w:t>l</w:t>
      </w:r>
      <w:r w:rsidRPr="003405D8">
        <w:t>astname</w:t>
      </w:r>
      <w:bookmarkEnd w:id="19"/>
    </w:p>
    <w:p w14:paraId="65BB627D" w14:textId="77777777" w:rsidR="00A900E3" w:rsidRPr="003405D8" w:rsidRDefault="00A900E3" w:rsidP="00A900E3">
      <w:pPr>
        <w:spacing w:after="120"/>
        <w:ind w:left="284"/>
        <w:jc w:val="both"/>
      </w:pPr>
      <w:bookmarkStart w:id="20" w:name="_Toc398641102"/>
      <w:r>
        <w:t>f</w:t>
      </w:r>
      <w:r w:rsidRPr="003405D8">
        <w:t>irstname.</w:t>
      </w:r>
      <w:r>
        <w:t>l</w:t>
      </w:r>
      <w:r w:rsidRPr="003405D8">
        <w:t>astname+</w:t>
      </w:r>
      <w:r>
        <w:t>n</w:t>
      </w:r>
      <w:r w:rsidRPr="003405D8">
        <w:t>umber</w:t>
      </w:r>
      <w:bookmarkEnd w:id="20"/>
    </w:p>
    <w:p w14:paraId="60BE3564" w14:textId="77777777" w:rsidR="00A900E3" w:rsidRPr="003405D8" w:rsidRDefault="00A900E3" w:rsidP="00A900E3">
      <w:pPr>
        <w:spacing w:after="120"/>
        <w:ind w:left="284"/>
        <w:jc w:val="both"/>
      </w:pPr>
      <w:bookmarkStart w:id="21" w:name="_Toc398641103"/>
      <w:r>
        <w:t>f</w:t>
      </w:r>
      <w:r w:rsidRPr="003405D8">
        <w:t>irstname.</w:t>
      </w:r>
      <w:r>
        <w:t>lastname+m</w:t>
      </w:r>
      <w:r w:rsidRPr="003405D8">
        <w:t>iddleinitial</w:t>
      </w:r>
      <w:bookmarkEnd w:id="21"/>
    </w:p>
    <w:p w14:paraId="7C133150" w14:textId="77777777" w:rsidR="00A900E3" w:rsidRPr="003405D8" w:rsidRDefault="00A900E3" w:rsidP="00A900E3">
      <w:pPr>
        <w:spacing w:after="120"/>
        <w:ind w:left="284"/>
        <w:jc w:val="both"/>
      </w:pPr>
      <w:bookmarkStart w:id="22" w:name="_Toc398641104"/>
      <w:r>
        <w:t>l</w:t>
      </w:r>
      <w:r w:rsidRPr="003405D8">
        <w:t>astname.</w:t>
      </w:r>
      <w:r>
        <w:t>f</w:t>
      </w:r>
      <w:r w:rsidRPr="003405D8">
        <w:t>irstname</w:t>
      </w:r>
      <w:bookmarkEnd w:id="22"/>
    </w:p>
    <w:p w14:paraId="0757D129" w14:textId="77777777" w:rsidR="00A900E3" w:rsidRPr="003405D8" w:rsidRDefault="00A900E3" w:rsidP="00A900E3">
      <w:pPr>
        <w:spacing w:after="120"/>
        <w:ind w:left="284"/>
        <w:jc w:val="both"/>
      </w:pPr>
      <w:bookmarkStart w:id="23" w:name="_Toc398641105"/>
      <w:r>
        <w:t>l</w:t>
      </w:r>
      <w:r w:rsidRPr="003405D8">
        <w:t>astname.</w:t>
      </w:r>
      <w:r>
        <w:t>f</w:t>
      </w:r>
      <w:r w:rsidRPr="003405D8">
        <w:t>irstname+</w:t>
      </w:r>
      <w:r>
        <w:t>n</w:t>
      </w:r>
      <w:r w:rsidRPr="003405D8">
        <w:t>umber</w:t>
      </w:r>
      <w:bookmarkEnd w:id="23"/>
    </w:p>
    <w:p w14:paraId="4EFFD88D" w14:textId="77777777" w:rsidR="00A900E3" w:rsidRPr="003405D8" w:rsidRDefault="00A900E3" w:rsidP="00A900E3">
      <w:pPr>
        <w:spacing w:after="120"/>
        <w:ind w:left="284"/>
        <w:jc w:val="both"/>
      </w:pPr>
      <w:bookmarkStart w:id="24" w:name="_Toc398641106"/>
      <w:r>
        <w:t>l</w:t>
      </w:r>
      <w:r w:rsidRPr="003405D8">
        <w:t>astname.</w:t>
      </w:r>
      <w:r>
        <w:t>f</w:t>
      </w:r>
      <w:r w:rsidRPr="003405D8">
        <w:t>irstname+</w:t>
      </w:r>
      <w:r>
        <w:t>m</w:t>
      </w:r>
      <w:r w:rsidRPr="003405D8">
        <w:t>iddleinitial</w:t>
      </w:r>
      <w:bookmarkEnd w:id="24"/>
    </w:p>
    <w:p w14:paraId="48237E13" w14:textId="77777777" w:rsidR="00A900E3" w:rsidRPr="003405D8" w:rsidRDefault="00A900E3" w:rsidP="00A900E3">
      <w:pPr>
        <w:pStyle w:val="-Normal-"/>
      </w:pPr>
      <w:bookmarkStart w:id="25" w:name="_Toc398641108"/>
      <w:r w:rsidRPr="003405D8">
        <w:lastRenderedPageBreak/>
        <w:t>All secondary domain names must be approved by the respective agency’s C</w:t>
      </w:r>
      <w:r>
        <w:t xml:space="preserve">hief </w:t>
      </w:r>
      <w:r w:rsidRPr="003405D8">
        <w:t>I</w:t>
      </w:r>
      <w:r>
        <w:t xml:space="preserve">nformation </w:t>
      </w:r>
      <w:r w:rsidRPr="003405D8">
        <w:t>O</w:t>
      </w:r>
      <w:r>
        <w:t>fficer or equivalent</w:t>
      </w:r>
      <w:r w:rsidRPr="003405D8">
        <w:t>.</w:t>
      </w:r>
      <w:bookmarkEnd w:id="25"/>
    </w:p>
    <w:p w14:paraId="14A88B7A" w14:textId="77777777" w:rsidR="00A900E3" w:rsidRDefault="00A900E3" w:rsidP="00A900E3">
      <w:pPr>
        <w:pStyle w:val="-Normal-"/>
      </w:pPr>
      <w:r w:rsidRPr="003405D8">
        <w:t>Applications for secondary domain names will not be approved if doing so will exceed the allowable number of secondary addresses.</w:t>
      </w:r>
    </w:p>
    <w:p w14:paraId="20FB825E" w14:textId="77777777" w:rsidR="00A900E3" w:rsidRPr="00EA233B" w:rsidRDefault="00A900E3" w:rsidP="00A900E3">
      <w:pPr>
        <w:pStyle w:val="Heading1"/>
      </w:pPr>
      <w:bookmarkStart w:id="26" w:name="_Toc465420083"/>
      <w:bookmarkStart w:id="27" w:name="_Toc468713029"/>
      <w:r w:rsidRPr="00EA233B">
        <w:t xml:space="preserve">Deletion of </w:t>
      </w:r>
      <w:r>
        <w:t>u</w:t>
      </w:r>
      <w:r w:rsidRPr="00EA233B">
        <w:t xml:space="preserve">nused </w:t>
      </w:r>
      <w:r>
        <w:t>a</w:t>
      </w:r>
      <w:r w:rsidRPr="00EA233B">
        <w:t>ddresses</w:t>
      </w:r>
      <w:bookmarkEnd w:id="26"/>
      <w:bookmarkEnd w:id="27"/>
    </w:p>
    <w:p w14:paraId="6BC508B8" w14:textId="77777777" w:rsidR="00A900E3" w:rsidRPr="003405D8" w:rsidRDefault="00A900E3" w:rsidP="00A900E3">
      <w:pPr>
        <w:pStyle w:val="-Normal-"/>
      </w:pPr>
      <w:r w:rsidRPr="003405D8">
        <w:t>Where secondary addresses or exempted primary domains become redundant through a portfolio or agency name change or similar, then a transition period must be defined that includes the date for removal of the redundant address. The maximum transition period allowed is 12 months.</w:t>
      </w:r>
    </w:p>
    <w:p w14:paraId="00EC5A02" w14:textId="77777777" w:rsidR="00A900E3" w:rsidRDefault="00A900E3" w:rsidP="00A900E3">
      <w:pPr>
        <w:pStyle w:val="-Normal-"/>
      </w:pPr>
      <w:r w:rsidRPr="003405D8">
        <w:t xml:space="preserve">Requests for secondary domain names that are required because of a portfolio, agency change of name or similar must state the transition period that the redundant portfolio or agency name will remain </w:t>
      </w:r>
      <w:r>
        <w:t xml:space="preserve">for </w:t>
      </w:r>
      <w:r w:rsidRPr="003405D8">
        <w:t xml:space="preserve">as a secondary address.  </w:t>
      </w:r>
    </w:p>
    <w:p w14:paraId="0645A638" w14:textId="77777777" w:rsidR="00A900E3" w:rsidRDefault="00A900E3" w:rsidP="00A900E3">
      <w:pPr>
        <w:pStyle w:val="Heading1"/>
      </w:pPr>
      <w:bookmarkStart w:id="28" w:name="_Toc465420084"/>
      <w:bookmarkStart w:id="29" w:name="_Toc468713030"/>
      <w:r>
        <w:t>Global address list display names</w:t>
      </w:r>
      <w:bookmarkEnd w:id="28"/>
      <w:bookmarkEnd w:id="29"/>
    </w:p>
    <w:p w14:paraId="39065B42" w14:textId="77777777" w:rsidR="00A900E3" w:rsidRPr="00EA233B" w:rsidRDefault="00A900E3" w:rsidP="00A900E3">
      <w:pPr>
        <w:pStyle w:val="Heading2"/>
      </w:pPr>
      <w:bookmarkStart w:id="30" w:name="_Toc465420085"/>
      <w:bookmarkStart w:id="31" w:name="_Toc468713031"/>
      <w:r w:rsidRPr="00EA233B">
        <w:t xml:space="preserve">Naming </w:t>
      </w:r>
      <w:r>
        <w:t>s</w:t>
      </w:r>
      <w:r w:rsidRPr="00EA233B">
        <w:t>tandard</w:t>
      </w:r>
      <w:bookmarkEnd w:id="30"/>
      <w:bookmarkEnd w:id="31"/>
    </w:p>
    <w:p w14:paraId="43E7B8B1" w14:textId="6BCD39A4" w:rsidR="00A900E3" w:rsidRPr="00C211D1" w:rsidRDefault="00A900E3" w:rsidP="00A900E3">
      <w:pPr>
        <w:pStyle w:val="-Normal-"/>
      </w:pPr>
      <w:bookmarkStart w:id="32" w:name="_Toc398641111"/>
      <w:r>
        <w:t xml:space="preserve">The </w:t>
      </w:r>
      <w:r w:rsidR="001950DD">
        <w:t>d</w:t>
      </w:r>
      <w:r>
        <w:t xml:space="preserve">isplay </w:t>
      </w:r>
      <w:r w:rsidR="001950DD">
        <w:t>n</w:t>
      </w:r>
      <w:r>
        <w:t xml:space="preserve">ames in the GAL comprise user mailbox names, positional </w:t>
      </w:r>
      <w:r w:rsidR="001950DD">
        <w:t>and</w:t>
      </w:r>
      <w:r>
        <w:t xml:space="preserve"> resource mailbox names</w:t>
      </w:r>
      <w:r w:rsidR="001950DD">
        <w:t>,</w:t>
      </w:r>
      <w:r>
        <w:t xml:space="preserve"> and distribution lists as described below.</w:t>
      </w:r>
    </w:p>
    <w:p w14:paraId="2BA5445B" w14:textId="71FC07AD" w:rsidR="00A900E3" w:rsidRDefault="00A900E3" w:rsidP="00A900E3">
      <w:pPr>
        <w:pStyle w:val="-Normal-"/>
      </w:pPr>
      <w:r>
        <w:t xml:space="preserve">The Naming </w:t>
      </w:r>
      <w:r w:rsidR="001950DD">
        <w:t>s</w:t>
      </w:r>
      <w:r>
        <w:t>tandard assists to maintain consistency and integrity of the whole-of-government mailbox directory.</w:t>
      </w:r>
      <w:bookmarkEnd w:id="32"/>
    </w:p>
    <w:p w14:paraId="7E3C19AB" w14:textId="77777777" w:rsidR="00A900E3" w:rsidRPr="00EA233B" w:rsidRDefault="00A900E3" w:rsidP="00A900E3">
      <w:pPr>
        <w:pStyle w:val="Heading2"/>
      </w:pPr>
      <w:bookmarkStart w:id="33" w:name="_Toc465420086"/>
      <w:bookmarkStart w:id="34" w:name="_Toc468713032"/>
      <w:r w:rsidRPr="00EA233B">
        <w:t xml:space="preserve">User </w:t>
      </w:r>
      <w:r>
        <w:t>d</w:t>
      </w:r>
      <w:r w:rsidRPr="00EA233B">
        <w:t xml:space="preserve">isplay </w:t>
      </w:r>
      <w:r>
        <w:t>n</w:t>
      </w:r>
      <w:r w:rsidRPr="00EA233B">
        <w:t>ames</w:t>
      </w:r>
      <w:bookmarkEnd w:id="33"/>
      <w:bookmarkEnd w:id="34"/>
    </w:p>
    <w:p w14:paraId="62B1A151" w14:textId="77777777" w:rsidR="00A900E3" w:rsidRPr="00105294" w:rsidRDefault="00A900E3" w:rsidP="00A900E3">
      <w:pPr>
        <w:pStyle w:val="-Normal-"/>
      </w:pPr>
      <w:r w:rsidRPr="00105294">
        <w:t xml:space="preserve">The naming standard for user display names listed in the </w:t>
      </w:r>
      <w:r>
        <w:t>GAL</w:t>
      </w:r>
      <w:r w:rsidRPr="00105294">
        <w:t xml:space="preserve"> is as follows:</w:t>
      </w:r>
    </w:p>
    <w:p w14:paraId="5386855A" w14:textId="77777777" w:rsidR="00A900E3" w:rsidRPr="001B6593" w:rsidRDefault="00A900E3" w:rsidP="00A900E3">
      <w:pPr>
        <w:spacing w:after="120"/>
        <w:ind w:left="284"/>
        <w:jc w:val="both"/>
        <w:rPr>
          <w:rStyle w:val="Hyperlink"/>
          <w:color w:val="auto"/>
        </w:rPr>
      </w:pPr>
      <w:r w:rsidRPr="001B6593">
        <w:rPr>
          <w:rStyle w:val="Hyperlink"/>
          <w:color w:val="auto"/>
        </w:rPr>
        <w:t>lastname, firstname (department)</w:t>
      </w:r>
    </w:p>
    <w:p w14:paraId="6AB6C13C" w14:textId="77777777" w:rsidR="00A900E3" w:rsidRPr="001B6593" w:rsidRDefault="00A900E3" w:rsidP="00A900E3">
      <w:pPr>
        <w:pStyle w:val="Heading3"/>
        <w:rPr>
          <w:color w:val="auto"/>
        </w:rPr>
      </w:pPr>
      <w:r w:rsidRPr="001B6593">
        <w:rPr>
          <w:color w:val="auto"/>
        </w:rPr>
        <w:t>Example:</w:t>
      </w:r>
    </w:p>
    <w:p w14:paraId="001FF816" w14:textId="77777777" w:rsidR="00A900E3" w:rsidRPr="001B6593" w:rsidRDefault="00A900E3" w:rsidP="00A900E3">
      <w:pPr>
        <w:spacing w:after="120"/>
        <w:ind w:left="284"/>
        <w:jc w:val="both"/>
        <w:rPr>
          <w:rStyle w:val="Hyperlink"/>
          <w:color w:val="auto"/>
        </w:rPr>
      </w:pPr>
      <w:r w:rsidRPr="001B6593">
        <w:rPr>
          <w:rStyle w:val="Hyperlink"/>
          <w:color w:val="auto"/>
        </w:rPr>
        <w:t>lastname, firstname (SAPOL) or</w:t>
      </w:r>
    </w:p>
    <w:p w14:paraId="657D1CF0" w14:textId="77777777" w:rsidR="00A900E3" w:rsidRPr="001B6593" w:rsidRDefault="00A900E3" w:rsidP="00A900E3">
      <w:pPr>
        <w:spacing w:after="120"/>
        <w:ind w:left="284"/>
        <w:jc w:val="both"/>
        <w:rPr>
          <w:rStyle w:val="Hyperlink"/>
          <w:color w:val="auto"/>
        </w:rPr>
      </w:pPr>
      <w:r w:rsidRPr="001B6593">
        <w:rPr>
          <w:rStyle w:val="Hyperlink"/>
          <w:color w:val="auto"/>
        </w:rPr>
        <w:t>lastname, firstname (Health)</w:t>
      </w:r>
    </w:p>
    <w:p w14:paraId="0BCBFED4" w14:textId="08355AB9" w:rsidR="00A900E3" w:rsidRPr="001B6593" w:rsidRDefault="006D11D1" w:rsidP="00A900E3">
      <w:pPr>
        <w:jc w:val="both"/>
        <w:rPr>
          <w:rFonts w:cs="Arial"/>
        </w:rPr>
      </w:pPr>
      <w:r w:rsidRPr="001B6593">
        <w:rPr>
          <w:rFonts w:cs="Arial"/>
        </w:rPr>
        <w:t>Alternatively,</w:t>
      </w:r>
      <w:r w:rsidR="00A900E3" w:rsidRPr="001B6593">
        <w:rPr>
          <w:rFonts w:cs="Arial"/>
        </w:rPr>
        <w:t xml:space="preserve"> where a department has several agencies:</w:t>
      </w:r>
    </w:p>
    <w:p w14:paraId="2BFBD280" w14:textId="77777777" w:rsidR="00A900E3" w:rsidRPr="001B6593" w:rsidRDefault="00A900E3" w:rsidP="00A900E3">
      <w:pPr>
        <w:spacing w:after="120"/>
        <w:ind w:left="284"/>
        <w:jc w:val="both"/>
        <w:rPr>
          <w:rStyle w:val="Hyperlink"/>
          <w:color w:val="auto"/>
        </w:rPr>
      </w:pPr>
      <w:r w:rsidRPr="001B6593">
        <w:rPr>
          <w:rStyle w:val="Hyperlink"/>
          <w:color w:val="auto"/>
        </w:rPr>
        <w:t>lastname, firstname (department–agency)</w:t>
      </w:r>
    </w:p>
    <w:p w14:paraId="76C736EA" w14:textId="77777777" w:rsidR="00A900E3" w:rsidRPr="001B6593" w:rsidRDefault="00A900E3" w:rsidP="00A900E3">
      <w:pPr>
        <w:pStyle w:val="Heading3"/>
        <w:rPr>
          <w:color w:val="auto"/>
        </w:rPr>
      </w:pPr>
      <w:r w:rsidRPr="001B6593">
        <w:rPr>
          <w:color w:val="auto"/>
        </w:rPr>
        <w:t>Example</w:t>
      </w:r>
    </w:p>
    <w:p w14:paraId="5392949C" w14:textId="77777777" w:rsidR="00A900E3" w:rsidRPr="001B6593" w:rsidRDefault="00A900E3" w:rsidP="00A900E3">
      <w:pPr>
        <w:spacing w:after="120"/>
        <w:ind w:left="284"/>
        <w:jc w:val="both"/>
        <w:rPr>
          <w:rFonts w:cs="Arial"/>
        </w:rPr>
      </w:pPr>
      <w:r w:rsidRPr="001B6593">
        <w:rPr>
          <w:rStyle w:val="Hyperlink"/>
          <w:color w:val="auto"/>
        </w:rPr>
        <w:t>lastname, firstname (PIRSA-SARDI)</w:t>
      </w:r>
      <w:r w:rsidRPr="001B6593">
        <w:rPr>
          <w:rFonts w:cs="Arial"/>
        </w:rPr>
        <w:t xml:space="preserve"> OR</w:t>
      </w:r>
    </w:p>
    <w:p w14:paraId="395C0A33" w14:textId="77777777" w:rsidR="00A900E3" w:rsidRPr="001B6593" w:rsidRDefault="00A900E3" w:rsidP="00A900E3">
      <w:pPr>
        <w:spacing w:after="120"/>
        <w:ind w:left="284"/>
        <w:jc w:val="both"/>
        <w:rPr>
          <w:rStyle w:val="Hyperlink"/>
          <w:color w:val="auto"/>
        </w:rPr>
      </w:pPr>
      <w:r w:rsidRPr="001B6593">
        <w:rPr>
          <w:rStyle w:val="Hyperlink"/>
          <w:color w:val="auto"/>
        </w:rPr>
        <w:t>lastname, firstname (department-location)</w:t>
      </w:r>
    </w:p>
    <w:p w14:paraId="1B002517" w14:textId="77777777" w:rsidR="00A900E3" w:rsidRPr="001B6593" w:rsidRDefault="00A900E3" w:rsidP="00A900E3">
      <w:pPr>
        <w:pStyle w:val="Heading3"/>
        <w:rPr>
          <w:color w:val="auto"/>
        </w:rPr>
      </w:pPr>
      <w:r w:rsidRPr="001B6593">
        <w:rPr>
          <w:color w:val="auto"/>
        </w:rPr>
        <w:t>Example</w:t>
      </w:r>
    </w:p>
    <w:p w14:paraId="6F9B9FAC" w14:textId="77777777" w:rsidR="00A900E3" w:rsidRPr="001B6593" w:rsidRDefault="00A900E3" w:rsidP="00A900E3">
      <w:pPr>
        <w:spacing w:after="120"/>
        <w:ind w:left="284"/>
        <w:jc w:val="both"/>
        <w:rPr>
          <w:rFonts w:cs="Arial"/>
        </w:rPr>
      </w:pPr>
      <w:r w:rsidRPr="001B6593">
        <w:rPr>
          <w:rStyle w:val="Hyperlink"/>
          <w:color w:val="auto"/>
        </w:rPr>
        <w:t>lastname, firstname (SAPOL-Holden Hill)</w:t>
      </w:r>
      <w:r w:rsidRPr="001B6593">
        <w:rPr>
          <w:rFonts w:cs="Arial"/>
        </w:rPr>
        <w:t xml:space="preserve"> – mainly used for staff located at the various Police Stations.</w:t>
      </w:r>
    </w:p>
    <w:p w14:paraId="40496BCA" w14:textId="77777777" w:rsidR="00A900E3" w:rsidRPr="001B6593" w:rsidRDefault="00A900E3" w:rsidP="00A900E3">
      <w:pPr>
        <w:pStyle w:val="-Normal-"/>
        <w:rPr>
          <w:color w:val="auto"/>
        </w:rPr>
      </w:pPr>
      <w:r w:rsidRPr="001B6593">
        <w:rPr>
          <w:color w:val="auto"/>
        </w:rPr>
        <w:t>Where there are two people with the same name in the same agency/location then the initial of their middle name can be used as the differential.</w:t>
      </w:r>
    </w:p>
    <w:p w14:paraId="5BB90A36" w14:textId="77777777" w:rsidR="00A900E3" w:rsidRPr="001B6593" w:rsidRDefault="00A900E3" w:rsidP="00A900E3">
      <w:pPr>
        <w:pStyle w:val="Heading3"/>
        <w:rPr>
          <w:color w:val="auto"/>
        </w:rPr>
      </w:pPr>
      <w:r w:rsidRPr="001B6593">
        <w:rPr>
          <w:color w:val="auto"/>
        </w:rPr>
        <w:t>Example</w:t>
      </w:r>
    </w:p>
    <w:p w14:paraId="64C98DAF" w14:textId="77777777" w:rsidR="00A900E3" w:rsidRPr="001B6593" w:rsidRDefault="00A900E3" w:rsidP="00A900E3">
      <w:pPr>
        <w:spacing w:after="120"/>
        <w:ind w:left="284"/>
        <w:jc w:val="both"/>
        <w:rPr>
          <w:rStyle w:val="Hyperlink"/>
          <w:color w:val="auto"/>
        </w:rPr>
      </w:pPr>
      <w:r w:rsidRPr="001B6593">
        <w:rPr>
          <w:rStyle w:val="Hyperlink"/>
          <w:color w:val="auto"/>
        </w:rPr>
        <w:t>lastname, firstname letter (portfolio/department-agency)</w:t>
      </w:r>
    </w:p>
    <w:p w14:paraId="234D6B23" w14:textId="77777777" w:rsidR="00A900E3" w:rsidRPr="0046620F" w:rsidRDefault="00A900E3" w:rsidP="00A900E3">
      <w:pPr>
        <w:pStyle w:val="Heading2"/>
      </w:pPr>
      <w:bookmarkStart w:id="35" w:name="_Toc465420087"/>
      <w:bookmarkStart w:id="36" w:name="_Toc468713033"/>
      <w:r w:rsidRPr="0046620F">
        <w:lastRenderedPageBreak/>
        <w:t xml:space="preserve">Generic </w:t>
      </w:r>
      <w:r>
        <w:t>m</w:t>
      </w:r>
      <w:r w:rsidRPr="0046620F">
        <w:t xml:space="preserve">ailbox </w:t>
      </w:r>
      <w:r>
        <w:t>d</w:t>
      </w:r>
      <w:r w:rsidRPr="0046620F">
        <w:t xml:space="preserve">isplay </w:t>
      </w:r>
      <w:r>
        <w:t>n</w:t>
      </w:r>
      <w:r w:rsidRPr="0046620F">
        <w:t>ames</w:t>
      </w:r>
      <w:bookmarkEnd w:id="35"/>
      <w:bookmarkEnd w:id="36"/>
    </w:p>
    <w:p w14:paraId="6C13DB27" w14:textId="77777777" w:rsidR="00A900E3" w:rsidRPr="001320D2" w:rsidRDefault="00A900E3" w:rsidP="00A900E3">
      <w:pPr>
        <w:pStyle w:val="-Normal-"/>
      </w:pPr>
      <w:r w:rsidRPr="001320D2">
        <w:t xml:space="preserve">It is necessary to establish a </w:t>
      </w:r>
      <w:r>
        <w:t>u</w:t>
      </w:r>
      <w:r w:rsidRPr="001320D2">
        <w:t xml:space="preserve">nique </w:t>
      </w:r>
      <w:r>
        <w:t>p</w:t>
      </w:r>
      <w:r w:rsidRPr="001320D2">
        <w:t xml:space="preserve">rimary </w:t>
      </w:r>
      <w:r>
        <w:t>a</w:t>
      </w:r>
      <w:r w:rsidRPr="001320D2">
        <w:t xml:space="preserve">ccount </w:t>
      </w:r>
      <w:r>
        <w:t>n</w:t>
      </w:r>
      <w:r w:rsidRPr="001320D2">
        <w:t xml:space="preserve">ame with the creation of a </w:t>
      </w:r>
      <w:r>
        <w:t>generic or resource mailbox.</w:t>
      </w:r>
      <w:r w:rsidRPr="001320D2">
        <w:t xml:space="preserve"> The naming standard for </w:t>
      </w:r>
      <w:r>
        <w:t>generic</w:t>
      </w:r>
      <w:r w:rsidRPr="001320D2">
        <w:t xml:space="preserve"> mailboxes is:</w:t>
      </w:r>
    </w:p>
    <w:p w14:paraId="50CB6546" w14:textId="77777777" w:rsidR="00A900E3" w:rsidRPr="001320D2" w:rsidRDefault="00A900E3" w:rsidP="00A900E3">
      <w:pPr>
        <w:spacing w:after="120"/>
        <w:ind w:left="284"/>
        <w:jc w:val="both"/>
        <w:rPr>
          <w:rFonts w:cs="Arial"/>
        </w:rPr>
      </w:pPr>
      <w:r>
        <w:rPr>
          <w:rFonts w:cs="Arial"/>
        </w:rPr>
        <w:t>a</w:t>
      </w:r>
      <w:r w:rsidRPr="001320D2">
        <w:rPr>
          <w:rFonts w:cs="Arial"/>
        </w:rPr>
        <w:t>gency abbreviation “</w:t>
      </w:r>
      <w:r w:rsidRPr="00B7131B">
        <w:rPr>
          <w:rFonts w:cs="Arial"/>
          <w:b/>
        </w:rPr>
        <w:t>:</w:t>
      </w:r>
      <w:r w:rsidRPr="001320D2">
        <w:rPr>
          <w:rFonts w:cs="Arial"/>
        </w:rPr>
        <w:t>”generic name with no space either side of the colon.</w:t>
      </w:r>
    </w:p>
    <w:p w14:paraId="25F8FCE2" w14:textId="77777777" w:rsidR="00A900E3" w:rsidRPr="00B7131B" w:rsidRDefault="00A900E3" w:rsidP="00A900E3">
      <w:pPr>
        <w:pStyle w:val="Heading3"/>
      </w:pPr>
      <w:r w:rsidRPr="00B7131B">
        <w:t>Example:</w:t>
      </w:r>
    </w:p>
    <w:p w14:paraId="5C0A2465" w14:textId="77777777" w:rsidR="00A900E3" w:rsidRPr="001320D2" w:rsidRDefault="00A900E3" w:rsidP="00A900E3">
      <w:pPr>
        <w:pStyle w:val="Body"/>
        <w:numPr>
          <w:ilvl w:val="12"/>
          <w:numId w:val="0"/>
        </w:numPr>
        <w:tabs>
          <w:tab w:val="left" w:pos="709"/>
          <w:tab w:val="left" w:pos="3686"/>
        </w:tabs>
        <w:spacing w:before="120" w:after="120" w:line="240" w:lineRule="atLeast"/>
        <w:ind w:left="284"/>
        <w:rPr>
          <w:rFonts w:ascii="Arial" w:hAnsi="Arial" w:cs="Arial"/>
          <w:szCs w:val="22"/>
        </w:rPr>
      </w:pPr>
      <w:r>
        <w:rPr>
          <w:rFonts w:ascii="Arial" w:hAnsi="Arial" w:cs="Arial"/>
          <w:szCs w:val="22"/>
        </w:rPr>
        <w:t>DPT</w:t>
      </w:r>
      <w:r w:rsidRPr="001320D2">
        <w:rPr>
          <w:rFonts w:ascii="Arial" w:hAnsi="Arial" w:cs="Arial"/>
          <w:szCs w:val="22"/>
        </w:rPr>
        <w:t>I:</w:t>
      </w:r>
      <w:r>
        <w:rPr>
          <w:rFonts w:ascii="Arial" w:hAnsi="Arial" w:cs="Arial"/>
          <w:szCs w:val="22"/>
        </w:rPr>
        <w:t>Service Desk</w:t>
      </w:r>
    </w:p>
    <w:p w14:paraId="0C231CAC" w14:textId="77777777" w:rsidR="00A900E3" w:rsidRDefault="00A900E3" w:rsidP="00A900E3">
      <w:pPr>
        <w:pStyle w:val="Body"/>
        <w:numPr>
          <w:ilvl w:val="12"/>
          <w:numId w:val="0"/>
        </w:numPr>
        <w:tabs>
          <w:tab w:val="left" w:pos="709"/>
          <w:tab w:val="left" w:pos="3686"/>
        </w:tabs>
        <w:spacing w:after="120"/>
        <w:ind w:left="284"/>
        <w:rPr>
          <w:rFonts w:ascii="Arial" w:hAnsi="Arial" w:cs="Arial"/>
          <w:szCs w:val="22"/>
        </w:rPr>
      </w:pPr>
      <w:r>
        <w:rPr>
          <w:rFonts w:ascii="Arial" w:hAnsi="Arial" w:cs="Arial"/>
          <w:szCs w:val="22"/>
        </w:rPr>
        <w:t>DPTI:Administrator</w:t>
      </w:r>
    </w:p>
    <w:p w14:paraId="3A0FAE21" w14:textId="77777777" w:rsidR="00A900E3" w:rsidRDefault="00A900E3" w:rsidP="00A900E3">
      <w:pPr>
        <w:pStyle w:val="-Normal-"/>
      </w:pPr>
      <w:r w:rsidRPr="004E13EA">
        <w:t>Where there is a requirement for an agency to remain anonymous then the agency acronym should be replaced with the acronym of the name of the mailbox</w:t>
      </w:r>
    </w:p>
    <w:p w14:paraId="0697F1F2" w14:textId="77777777" w:rsidR="00A900E3" w:rsidRPr="00CB7231" w:rsidRDefault="00A900E3" w:rsidP="00A900E3">
      <w:pPr>
        <w:pStyle w:val="Heading3"/>
      </w:pPr>
      <w:r w:rsidRPr="00CB7231">
        <w:t>Example:</w:t>
      </w:r>
    </w:p>
    <w:p w14:paraId="0E298F1C" w14:textId="77777777" w:rsidR="00A900E3" w:rsidRDefault="00A900E3" w:rsidP="00A900E3">
      <w:pPr>
        <w:pStyle w:val="Body"/>
        <w:numPr>
          <w:ilvl w:val="12"/>
          <w:numId w:val="0"/>
        </w:numPr>
        <w:tabs>
          <w:tab w:val="left" w:pos="709"/>
          <w:tab w:val="left" w:pos="3686"/>
        </w:tabs>
        <w:spacing w:before="120" w:after="120"/>
        <w:ind w:left="284"/>
        <w:rPr>
          <w:rFonts w:ascii="Arial" w:hAnsi="Arial" w:cs="Arial"/>
          <w:szCs w:val="22"/>
        </w:rPr>
      </w:pPr>
      <w:r w:rsidRPr="004E13EA">
        <w:rPr>
          <w:rFonts w:ascii="Arial" w:hAnsi="Arial" w:cs="Arial"/>
          <w:szCs w:val="22"/>
        </w:rPr>
        <w:t>RSFF:Riverland</w:t>
      </w:r>
      <w:r>
        <w:rPr>
          <w:rFonts w:ascii="Arial" w:hAnsi="Arial" w:cs="Arial"/>
          <w:szCs w:val="22"/>
        </w:rPr>
        <w:t xml:space="preserve"> Sustainable Futures Fund.</w:t>
      </w:r>
    </w:p>
    <w:p w14:paraId="6B63CF81" w14:textId="07B9D2B7" w:rsidR="00A900E3" w:rsidRDefault="00A900E3" w:rsidP="00A900E3">
      <w:pPr>
        <w:pStyle w:val="-Normal-"/>
      </w:pPr>
      <w:r w:rsidRPr="004E13EA">
        <w:t xml:space="preserve">In this case a primary </w:t>
      </w:r>
      <w:r>
        <w:t>SMTP</w:t>
      </w:r>
      <w:r w:rsidRPr="004E13EA">
        <w:t xml:space="preserve"> address of </w:t>
      </w:r>
      <w:r w:rsidRPr="00F11222">
        <w:t>RSFF@sa.gov.au</w:t>
      </w:r>
      <w:r w:rsidRPr="004E13EA">
        <w:t xml:space="preserve"> can be assigned. However if the SMTP address required is too generic such as Eco, Green, Contact, Help etc and/or doesn’t represent the function or relate to the mailbox name t</w:t>
      </w:r>
      <w:r>
        <w:t>hen agencies must apply for an e</w:t>
      </w:r>
      <w:r w:rsidRPr="004E13EA">
        <w:t xml:space="preserve">xemption via </w:t>
      </w:r>
      <w:hyperlink r:id="rId11" w:history="1">
        <w:r w:rsidR="00FE4EE6">
          <w:rPr>
            <w:rStyle w:val="Hyperlink"/>
            <w:szCs w:val="22"/>
            <w:u w:val="single"/>
          </w:rPr>
          <w:t>https://dpc.sa.gov.au/digital/exemption</w:t>
        </w:r>
      </w:hyperlink>
      <w:r w:rsidRPr="00A621C4">
        <w:rPr>
          <w:rStyle w:val="Hyperlink"/>
          <w:color w:val="auto"/>
          <w:szCs w:val="22"/>
        </w:rPr>
        <w:t>.</w:t>
      </w:r>
    </w:p>
    <w:p w14:paraId="6F1C79C0" w14:textId="439274B7" w:rsidR="00A900E3" w:rsidRPr="0046620F" w:rsidRDefault="00A900E3" w:rsidP="00A900E3">
      <w:pPr>
        <w:pStyle w:val="Heading2"/>
      </w:pPr>
      <w:bookmarkStart w:id="37" w:name="_Toc398641114"/>
      <w:bookmarkStart w:id="38" w:name="_Toc465420088"/>
      <w:bookmarkStart w:id="39" w:name="_Toc468713034"/>
      <w:r w:rsidRPr="0046620F">
        <w:t>Resource</w:t>
      </w:r>
      <w:bookmarkEnd w:id="37"/>
      <w:bookmarkEnd w:id="38"/>
      <w:bookmarkEnd w:id="39"/>
      <w:r w:rsidRPr="0046620F">
        <w:t xml:space="preserve"> </w:t>
      </w:r>
      <w:r w:rsidR="001950DD">
        <w:t>m</w:t>
      </w:r>
      <w:r w:rsidRPr="0046620F">
        <w:t xml:space="preserve">ailbox </w:t>
      </w:r>
      <w:r w:rsidR="001950DD">
        <w:t>d</w:t>
      </w:r>
      <w:r w:rsidRPr="0046620F">
        <w:t xml:space="preserve">isplay </w:t>
      </w:r>
      <w:r w:rsidR="001950DD">
        <w:t>n</w:t>
      </w:r>
      <w:r w:rsidRPr="0046620F">
        <w:t>ames</w:t>
      </w:r>
    </w:p>
    <w:p w14:paraId="3277BE8D" w14:textId="77777777" w:rsidR="00A900E3" w:rsidRPr="001320D2" w:rsidRDefault="00A900E3" w:rsidP="00A900E3">
      <w:pPr>
        <w:pStyle w:val="-Normal-"/>
      </w:pPr>
      <w:r w:rsidRPr="001320D2">
        <w:t>The naming standard for resources, such as conference rooms or equipment is:</w:t>
      </w:r>
    </w:p>
    <w:p w14:paraId="36D5EE2E" w14:textId="77777777" w:rsidR="00A900E3" w:rsidRPr="001320D2" w:rsidRDefault="00A900E3" w:rsidP="00A900E3">
      <w:pPr>
        <w:pStyle w:val="Body"/>
        <w:numPr>
          <w:ilvl w:val="12"/>
          <w:numId w:val="0"/>
        </w:numPr>
        <w:spacing w:after="200"/>
        <w:ind w:left="284"/>
        <w:rPr>
          <w:rFonts w:ascii="Arial" w:hAnsi="Arial" w:cs="Arial"/>
          <w:szCs w:val="22"/>
        </w:rPr>
      </w:pPr>
      <w:r>
        <w:rPr>
          <w:rFonts w:ascii="Arial" w:hAnsi="Arial" w:cs="Arial"/>
          <w:szCs w:val="22"/>
        </w:rPr>
        <w:t>a</w:t>
      </w:r>
      <w:r w:rsidRPr="001320D2">
        <w:rPr>
          <w:rFonts w:ascii="Arial" w:hAnsi="Arial" w:cs="Arial"/>
          <w:szCs w:val="22"/>
        </w:rPr>
        <w:t>gency abbreviation + “</w:t>
      </w:r>
      <w:r w:rsidRPr="00B7131B">
        <w:rPr>
          <w:rFonts w:ascii="Arial" w:hAnsi="Arial" w:cs="Arial"/>
          <w:b/>
          <w:szCs w:val="22"/>
        </w:rPr>
        <w:t>:</w:t>
      </w:r>
      <w:r w:rsidRPr="001320D2">
        <w:rPr>
          <w:rFonts w:ascii="Arial" w:hAnsi="Arial" w:cs="Arial"/>
          <w:szCs w:val="22"/>
        </w:rPr>
        <w:t xml:space="preserve">” </w:t>
      </w:r>
      <w:r w:rsidRPr="001320D2">
        <w:rPr>
          <w:rFonts w:ascii="Arial" w:hAnsi="Arial" w:cs="Arial"/>
          <w:i/>
          <w:szCs w:val="22"/>
        </w:rPr>
        <w:t>resource abbreviation</w:t>
      </w:r>
    </w:p>
    <w:p w14:paraId="481F3513" w14:textId="77777777" w:rsidR="00A900E3" w:rsidRPr="00B7131B" w:rsidRDefault="00A900E3" w:rsidP="00A900E3">
      <w:pPr>
        <w:pStyle w:val="Heading3"/>
      </w:pPr>
      <w:r w:rsidRPr="00B7131B">
        <w:t>Example:</w:t>
      </w:r>
    </w:p>
    <w:p w14:paraId="7043F5FD" w14:textId="77777777" w:rsidR="00A900E3" w:rsidRPr="001320D2" w:rsidRDefault="00A900E3" w:rsidP="00A900E3">
      <w:pPr>
        <w:pStyle w:val="Body"/>
        <w:numPr>
          <w:ilvl w:val="12"/>
          <w:numId w:val="0"/>
        </w:numPr>
        <w:tabs>
          <w:tab w:val="left" w:pos="709"/>
          <w:tab w:val="left" w:pos="3534"/>
        </w:tabs>
        <w:spacing w:before="120" w:after="120"/>
        <w:ind w:left="284"/>
        <w:rPr>
          <w:rFonts w:ascii="Arial" w:hAnsi="Arial" w:cs="Arial"/>
          <w:szCs w:val="22"/>
        </w:rPr>
      </w:pPr>
      <w:r>
        <w:rPr>
          <w:rFonts w:ascii="Arial" w:hAnsi="Arial" w:cs="Arial"/>
          <w:szCs w:val="22"/>
        </w:rPr>
        <w:t>DPT</w:t>
      </w:r>
      <w:r w:rsidRPr="001320D2">
        <w:rPr>
          <w:rFonts w:ascii="Arial" w:hAnsi="Arial" w:cs="Arial"/>
          <w:szCs w:val="22"/>
        </w:rPr>
        <w:t>I:Car</w:t>
      </w:r>
      <w:r>
        <w:rPr>
          <w:rFonts w:ascii="Arial" w:hAnsi="Arial" w:cs="Arial"/>
          <w:szCs w:val="22"/>
        </w:rPr>
        <w:t xml:space="preserve"> </w:t>
      </w:r>
      <w:r w:rsidRPr="001320D2">
        <w:rPr>
          <w:rFonts w:ascii="Arial" w:hAnsi="Arial" w:cs="Arial"/>
          <w:szCs w:val="22"/>
        </w:rPr>
        <w:t>(if more than one car add specific data) e</w:t>
      </w:r>
      <w:r>
        <w:rPr>
          <w:rFonts w:ascii="Arial" w:hAnsi="Arial" w:cs="Arial"/>
          <w:szCs w:val="22"/>
        </w:rPr>
        <w:t>.</w:t>
      </w:r>
      <w:r w:rsidRPr="001320D2">
        <w:rPr>
          <w:rFonts w:ascii="Arial" w:hAnsi="Arial" w:cs="Arial"/>
          <w:szCs w:val="22"/>
        </w:rPr>
        <w:t>g</w:t>
      </w:r>
      <w:r>
        <w:rPr>
          <w:rFonts w:ascii="Arial" w:hAnsi="Arial" w:cs="Arial"/>
          <w:szCs w:val="22"/>
        </w:rPr>
        <w:t>.</w:t>
      </w:r>
      <w:r w:rsidRPr="001320D2">
        <w:rPr>
          <w:rFonts w:ascii="Arial" w:hAnsi="Arial" w:cs="Arial"/>
          <w:szCs w:val="22"/>
        </w:rPr>
        <w:t xml:space="preserve"> D</w:t>
      </w:r>
      <w:r>
        <w:rPr>
          <w:rFonts w:ascii="Arial" w:hAnsi="Arial" w:cs="Arial"/>
          <w:szCs w:val="22"/>
        </w:rPr>
        <w:t>PTI</w:t>
      </w:r>
      <w:r w:rsidRPr="001320D2">
        <w:rPr>
          <w:rFonts w:ascii="Arial" w:hAnsi="Arial" w:cs="Arial"/>
          <w:szCs w:val="22"/>
        </w:rPr>
        <w:t>:Car ABC123</w:t>
      </w:r>
    </w:p>
    <w:p w14:paraId="7A40CDD0" w14:textId="77777777" w:rsidR="00A900E3" w:rsidRPr="001320D2" w:rsidRDefault="00A900E3" w:rsidP="00A900E3">
      <w:pPr>
        <w:pStyle w:val="Body"/>
        <w:numPr>
          <w:ilvl w:val="12"/>
          <w:numId w:val="0"/>
        </w:numPr>
        <w:tabs>
          <w:tab w:val="left" w:pos="709"/>
          <w:tab w:val="left" w:pos="2694"/>
        </w:tabs>
        <w:spacing w:after="120"/>
        <w:ind w:left="284"/>
        <w:rPr>
          <w:rFonts w:ascii="Arial" w:hAnsi="Arial" w:cs="Arial"/>
          <w:szCs w:val="22"/>
        </w:rPr>
      </w:pPr>
      <w:r>
        <w:rPr>
          <w:rFonts w:ascii="Arial" w:hAnsi="Arial" w:cs="Arial"/>
          <w:szCs w:val="22"/>
        </w:rPr>
        <w:t xml:space="preserve">DPTI:Meeting Room </w:t>
      </w:r>
      <w:r w:rsidRPr="001320D2">
        <w:rPr>
          <w:rFonts w:ascii="Arial" w:hAnsi="Arial" w:cs="Arial"/>
          <w:szCs w:val="22"/>
        </w:rPr>
        <w:t xml:space="preserve">(If more than one add 1,2,3 or another </w:t>
      </w:r>
      <w:r>
        <w:rPr>
          <w:rFonts w:ascii="Arial" w:hAnsi="Arial" w:cs="Arial"/>
          <w:szCs w:val="22"/>
        </w:rPr>
        <w:t xml:space="preserve">descriptor </w:t>
      </w:r>
      <w:r w:rsidRPr="001320D2">
        <w:rPr>
          <w:rFonts w:ascii="Arial" w:hAnsi="Arial" w:cs="Arial"/>
          <w:szCs w:val="22"/>
        </w:rPr>
        <w:t>such as name of</w:t>
      </w:r>
      <w:r>
        <w:rPr>
          <w:rFonts w:ascii="Arial" w:hAnsi="Arial" w:cs="Arial"/>
          <w:szCs w:val="22"/>
        </w:rPr>
        <w:t xml:space="preserve"> </w:t>
      </w:r>
      <w:r w:rsidRPr="001320D2">
        <w:rPr>
          <w:rFonts w:ascii="Arial" w:hAnsi="Arial" w:cs="Arial"/>
          <w:szCs w:val="22"/>
        </w:rPr>
        <w:t>meeting room or the location)</w:t>
      </w:r>
      <w:r w:rsidRPr="00B13F71">
        <w:rPr>
          <w:rFonts w:ascii="Arial" w:hAnsi="Arial" w:cs="Arial"/>
          <w:szCs w:val="22"/>
        </w:rPr>
        <w:t xml:space="preserve"> </w:t>
      </w:r>
      <w:r>
        <w:rPr>
          <w:rFonts w:ascii="Arial" w:hAnsi="Arial" w:cs="Arial"/>
          <w:szCs w:val="22"/>
        </w:rPr>
        <w:t xml:space="preserve">e.g. </w:t>
      </w:r>
      <w:r w:rsidRPr="005962ED">
        <w:rPr>
          <w:rFonts w:ascii="Arial" w:hAnsi="Arial" w:cs="Arial"/>
          <w:szCs w:val="22"/>
        </w:rPr>
        <w:t>DPTI:</w:t>
      </w:r>
      <w:r>
        <w:rPr>
          <w:rFonts w:ascii="Arial" w:hAnsi="Arial" w:cs="Arial"/>
          <w:szCs w:val="22"/>
        </w:rPr>
        <w:t>Level 2 – Room 1</w:t>
      </w:r>
    </w:p>
    <w:p w14:paraId="23249BC7" w14:textId="2C3E4348" w:rsidR="00A900E3" w:rsidRPr="0046620F" w:rsidRDefault="00A900E3" w:rsidP="00A900E3">
      <w:pPr>
        <w:pStyle w:val="Heading1"/>
      </w:pPr>
      <w:bookmarkStart w:id="40" w:name="_Toc398641115"/>
      <w:bookmarkStart w:id="41" w:name="_Toc465420089"/>
      <w:bookmarkStart w:id="42" w:name="_Toc468713035"/>
      <w:r w:rsidRPr="0046620F">
        <w:t xml:space="preserve">Distribution </w:t>
      </w:r>
      <w:r w:rsidR="001950DD">
        <w:t>l</w:t>
      </w:r>
      <w:r w:rsidRPr="0046620F">
        <w:t>ists</w:t>
      </w:r>
      <w:bookmarkEnd w:id="40"/>
      <w:bookmarkEnd w:id="41"/>
      <w:bookmarkEnd w:id="42"/>
    </w:p>
    <w:p w14:paraId="4E78D478" w14:textId="77777777" w:rsidR="00A900E3" w:rsidRPr="001320D2" w:rsidRDefault="00A900E3" w:rsidP="00A900E3">
      <w:pPr>
        <w:pStyle w:val="-Normal-"/>
      </w:pPr>
      <w:r w:rsidRPr="001320D2">
        <w:t>The naming standard for agency distribution lists is:</w:t>
      </w:r>
    </w:p>
    <w:p w14:paraId="0C7BDBC2" w14:textId="77777777" w:rsidR="00A900E3" w:rsidRPr="001320D2" w:rsidRDefault="00A900E3" w:rsidP="00A900E3">
      <w:pPr>
        <w:tabs>
          <w:tab w:val="left" w:pos="709"/>
        </w:tabs>
        <w:ind w:left="284"/>
        <w:jc w:val="both"/>
        <w:rPr>
          <w:rFonts w:cs="Arial"/>
        </w:rPr>
      </w:pPr>
      <w:r w:rsidRPr="001320D2">
        <w:rPr>
          <w:rFonts w:cs="Arial"/>
        </w:rPr>
        <w:t>DL:</w:t>
      </w:r>
      <w:r>
        <w:rPr>
          <w:rFonts w:cs="Arial"/>
        </w:rPr>
        <w:t>agency abbreviation D</w:t>
      </w:r>
      <w:r w:rsidRPr="001320D2">
        <w:rPr>
          <w:rFonts w:cs="Arial"/>
        </w:rPr>
        <w:t xml:space="preserve">istribution </w:t>
      </w:r>
      <w:r>
        <w:rPr>
          <w:rFonts w:cs="Arial"/>
        </w:rPr>
        <w:t>l</w:t>
      </w:r>
      <w:r w:rsidRPr="001320D2">
        <w:rPr>
          <w:rFonts w:cs="Arial"/>
        </w:rPr>
        <w:t xml:space="preserve">ist </w:t>
      </w:r>
      <w:r>
        <w:rPr>
          <w:rFonts w:cs="Arial"/>
        </w:rPr>
        <w:t>n</w:t>
      </w:r>
      <w:r w:rsidRPr="001320D2">
        <w:rPr>
          <w:rFonts w:cs="Arial"/>
        </w:rPr>
        <w:t xml:space="preserve">ame </w:t>
      </w:r>
    </w:p>
    <w:p w14:paraId="06AA64FE" w14:textId="77777777" w:rsidR="00A900E3" w:rsidRPr="00CB7231" w:rsidRDefault="00A900E3" w:rsidP="00A900E3">
      <w:pPr>
        <w:pStyle w:val="Heading3"/>
      </w:pPr>
      <w:r w:rsidRPr="00CB7231">
        <w:t>Example:</w:t>
      </w:r>
    </w:p>
    <w:p w14:paraId="51F10AA3" w14:textId="77777777" w:rsidR="00A900E3" w:rsidRPr="001320D2" w:rsidRDefault="00A900E3" w:rsidP="00A900E3">
      <w:pPr>
        <w:tabs>
          <w:tab w:val="left" w:pos="709"/>
        </w:tabs>
        <w:spacing w:before="120" w:after="120"/>
        <w:ind w:left="284"/>
        <w:jc w:val="both"/>
        <w:rPr>
          <w:rFonts w:cs="Arial"/>
        </w:rPr>
      </w:pPr>
      <w:r>
        <w:rPr>
          <w:rFonts w:cs="Arial"/>
        </w:rPr>
        <w:t>DL:DPT</w:t>
      </w:r>
      <w:r w:rsidRPr="001320D2">
        <w:rPr>
          <w:rFonts w:cs="Arial"/>
        </w:rPr>
        <w:t>I All Staff</w:t>
      </w:r>
    </w:p>
    <w:p w14:paraId="2731E90E" w14:textId="77777777" w:rsidR="00A900E3" w:rsidRDefault="00A900E3" w:rsidP="00A900E3">
      <w:pPr>
        <w:pStyle w:val="-Normal-"/>
      </w:pPr>
      <w:r w:rsidRPr="001320D2">
        <w:t xml:space="preserve">Each distribution list should be assigned an owner from within that </w:t>
      </w:r>
      <w:r>
        <w:t>a</w:t>
      </w:r>
      <w:r w:rsidRPr="001320D2">
        <w:t xml:space="preserve">gency, who will be responsible for the management of the distribution list.  </w:t>
      </w:r>
      <w:r>
        <w:t>It is the agency responsibility to maintain and manage the list on a case by case basis.</w:t>
      </w:r>
    </w:p>
    <w:p w14:paraId="40C68FC2" w14:textId="77777777" w:rsidR="00A900E3" w:rsidRDefault="00A900E3" w:rsidP="00A900E3">
      <w:pPr>
        <w:pStyle w:val="-Normal-"/>
      </w:pPr>
      <w:r w:rsidRPr="001320D2">
        <w:t>Delivery restrictions for each distribution list should be configured to accept messages from either the members of the distribution list or, a distribution list containi</w:t>
      </w:r>
      <w:r>
        <w:t>ng all mailboxes in an agency.</w:t>
      </w:r>
      <w:bookmarkStart w:id="43" w:name="_Toc398641116"/>
      <w:bookmarkStart w:id="44" w:name="_Toc468713036"/>
    </w:p>
    <w:p w14:paraId="1C85DEDE" w14:textId="77777777" w:rsidR="00A900E3" w:rsidRDefault="00A900E3" w:rsidP="00A900E3">
      <w:pPr>
        <w:spacing w:after="0" w:line="240" w:lineRule="auto"/>
        <w:rPr>
          <w:rFonts w:eastAsia="Times New Roman" w:cs="Times New Roman"/>
          <w:b/>
          <w:bCs/>
          <w:noProof/>
          <w:sz w:val="28"/>
        </w:rPr>
      </w:pPr>
      <w:r>
        <w:br w:type="page"/>
      </w:r>
    </w:p>
    <w:p w14:paraId="56C3B8DF" w14:textId="254F4614" w:rsidR="00A900E3" w:rsidRPr="0046620F" w:rsidRDefault="00A900E3" w:rsidP="00A900E3">
      <w:pPr>
        <w:pStyle w:val="Heading1"/>
      </w:pPr>
      <w:r w:rsidRPr="0046620F">
        <w:lastRenderedPageBreak/>
        <w:t xml:space="preserve">Public </w:t>
      </w:r>
      <w:r w:rsidR="001950DD">
        <w:t>f</w:t>
      </w:r>
      <w:r w:rsidRPr="0046620F">
        <w:t>olders</w:t>
      </w:r>
      <w:bookmarkEnd w:id="43"/>
      <w:bookmarkEnd w:id="44"/>
    </w:p>
    <w:p w14:paraId="2D983521" w14:textId="77777777" w:rsidR="00A900E3" w:rsidRPr="001320D2" w:rsidRDefault="00A900E3" w:rsidP="00A900E3">
      <w:pPr>
        <w:pStyle w:val="-Normal-"/>
      </w:pPr>
      <w:r w:rsidRPr="001320D2">
        <w:t xml:space="preserve">The </w:t>
      </w:r>
      <w:r>
        <w:t>n</w:t>
      </w:r>
      <w:r w:rsidRPr="001320D2">
        <w:t xml:space="preserve">aming standard for agency public folders is a mandatory prefix of ‘PF:’ </w:t>
      </w:r>
      <w:r>
        <w:t>f</w:t>
      </w:r>
      <w:r w:rsidRPr="001320D2">
        <w:t xml:space="preserve">ollowed by </w:t>
      </w:r>
      <w:r>
        <w:t>department</w:t>
      </w:r>
      <w:r w:rsidRPr="001320D2">
        <w:t xml:space="preserve"> </w:t>
      </w:r>
      <w:r>
        <w:t>a</w:t>
      </w:r>
      <w:r w:rsidRPr="001320D2">
        <w:t xml:space="preserve">bbreviation and then the name of the </w:t>
      </w:r>
      <w:r>
        <w:t>f</w:t>
      </w:r>
      <w:r w:rsidRPr="001320D2">
        <w:t>older</w:t>
      </w:r>
      <w:r>
        <w:t>.</w:t>
      </w:r>
      <w:r w:rsidRPr="001320D2">
        <w:t xml:space="preserve"> </w:t>
      </w:r>
    </w:p>
    <w:p w14:paraId="433AFEF7" w14:textId="77777777" w:rsidR="00A900E3" w:rsidRDefault="00A900E3" w:rsidP="00A900E3">
      <w:pPr>
        <w:pStyle w:val="Heading3"/>
      </w:pPr>
      <w:r w:rsidRPr="00CB7231">
        <w:t>Example:</w:t>
      </w:r>
    </w:p>
    <w:p w14:paraId="49542A9D" w14:textId="77777777" w:rsidR="00A900E3" w:rsidRDefault="00A900E3" w:rsidP="00A900E3">
      <w:pPr>
        <w:pStyle w:val="BodyText2"/>
        <w:tabs>
          <w:tab w:val="left" w:pos="709"/>
        </w:tabs>
        <w:spacing w:before="120" w:after="200"/>
        <w:ind w:left="284"/>
        <w:jc w:val="both"/>
        <w:rPr>
          <w:szCs w:val="22"/>
        </w:rPr>
      </w:pPr>
      <w:r>
        <w:rPr>
          <w:szCs w:val="22"/>
        </w:rPr>
        <w:t>PF:DPT</w:t>
      </w:r>
      <w:r w:rsidRPr="001320D2">
        <w:rPr>
          <w:szCs w:val="22"/>
        </w:rPr>
        <w:t>I Notifications</w:t>
      </w:r>
    </w:p>
    <w:p w14:paraId="3CF39D8E" w14:textId="77777777" w:rsidR="00A900E3" w:rsidRPr="008D4DEF" w:rsidRDefault="00A900E3" w:rsidP="00A900E3">
      <w:pPr>
        <w:pStyle w:val="Heading1"/>
      </w:pPr>
      <w:r>
        <w:t>References and links</w:t>
      </w:r>
    </w:p>
    <w:p w14:paraId="7FA6DC87" w14:textId="295C3A66" w:rsidR="001B6593" w:rsidRPr="001B6593" w:rsidRDefault="006F0959" w:rsidP="00A900E3">
      <w:pPr>
        <w:pStyle w:val="ListParagraph"/>
        <w:numPr>
          <w:ilvl w:val="0"/>
          <w:numId w:val="14"/>
        </w:numPr>
        <w:tabs>
          <w:tab w:val="left" w:pos="3261"/>
        </w:tabs>
        <w:spacing w:before="0" w:after="200" w:line="276" w:lineRule="auto"/>
        <w:contextualSpacing/>
        <w:jc w:val="both"/>
        <w:rPr>
          <w:rStyle w:val="Hyperlink"/>
          <w:i/>
          <w:color w:val="auto"/>
        </w:rPr>
      </w:pPr>
      <w:hyperlink r:id="rId12" w:history="1">
        <w:r w:rsidR="001B6593">
          <w:rPr>
            <w:rStyle w:val="Hyperlink"/>
            <w:u w:val="single"/>
          </w:rPr>
          <w:t>ICT Policy Statement 1 Compliant Authorities</w:t>
        </w:r>
      </w:hyperlink>
    </w:p>
    <w:p w14:paraId="5FF77083" w14:textId="65BA83B7" w:rsidR="00A900E3" w:rsidRPr="005F6E11" w:rsidRDefault="006F0959" w:rsidP="00A900E3">
      <w:pPr>
        <w:pStyle w:val="ListParagraph"/>
        <w:numPr>
          <w:ilvl w:val="0"/>
          <w:numId w:val="14"/>
        </w:numPr>
        <w:tabs>
          <w:tab w:val="left" w:pos="3261"/>
        </w:tabs>
        <w:spacing w:before="0" w:after="200" w:line="276" w:lineRule="auto"/>
        <w:contextualSpacing/>
        <w:jc w:val="both"/>
        <w:rPr>
          <w:rStyle w:val="Hyperlink"/>
          <w:i/>
          <w:color w:val="auto"/>
        </w:rPr>
      </w:pPr>
      <w:hyperlink r:id="rId13" w:history="1">
        <w:r w:rsidR="001B6593" w:rsidRPr="001B6593">
          <w:rPr>
            <w:rStyle w:val="Hyperlink"/>
            <w:rFonts w:cs="Arial"/>
            <w:u w:val="single"/>
          </w:rPr>
          <w:t>ICT Ruling 1 Exemptions</w:t>
        </w:r>
      </w:hyperlink>
    </w:p>
    <w:p w14:paraId="32A42B94" w14:textId="77777777" w:rsidR="00A900E3" w:rsidRPr="00E54589" w:rsidRDefault="00A900E3" w:rsidP="00A900E3">
      <w:pPr>
        <w:pStyle w:val="Heading1"/>
      </w:pPr>
      <w:bookmarkStart w:id="45" w:name="_Hlk531096004"/>
      <w:r w:rsidRPr="00E54589">
        <w:t>Document Control</w:t>
      </w:r>
    </w:p>
    <w:p w14:paraId="5F28AC5F" w14:textId="77777777" w:rsidR="00A900E3" w:rsidRPr="008928FB" w:rsidRDefault="00A900E3" w:rsidP="00A900E3">
      <w:pPr>
        <w:pStyle w:val="-Normal1-"/>
      </w:pPr>
      <w:bookmarkStart w:id="46" w:name="Start"/>
      <w:bookmarkEnd w:id="46"/>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A900E3" w14:paraId="07D6B43F" w14:textId="77777777" w:rsidTr="00AF3B53">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vAlign w:val="center"/>
          </w:tcPr>
          <w:p w14:paraId="3669B006" w14:textId="77777777" w:rsidR="00A900E3" w:rsidRPr="007D7F5F" w:rsidRDefault="00A900E3" w:rsidP="00AF3B53">
            <w:pPr>
              <w:pStyle w:val="TableText"/>
              <w:shd w:val="clear" w:color="auto" w:fill="B4DDFF"/>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vAlign w:val="center"/>
          </w:tcPr>
          <w:p w14:paraId="0F92A528" w14:textId="77777777" w:rsidR="00A900E3" w:rsidRPr="007D7F5F" w:rsidRDefault="00A900E3" w:rsidP="00AF3B53">
            <w:pPr>
              <w:pStyle w:val="TableText"/>
              <w:shd w:val="clear" w:color="auto" w:fill="B4DDFF"/>
              <w:spacing w:before="0" w:after="0"/>
              <w:rPr>
                <w:b w:val="0"/>
                <w:sz w:val="18"/>
              </w:rPr>
            </w:pPr>
            <w:r>
              <w:rPr>
                <w:b w:val="0"/>
                <w:sz w:val="18"/>
              </w:rPr>
              <w:t>DPC/P6.10</w:t>
            </w:r>
          </w:p>
        </w:tc>
      </w:tr>
      <w:tr w:rsidR="00A900E3" w14:paraId="15EE0947" w14:textId="77777777" w:rsidTr="00AF3B53">
        <w:trPr>
          <w:trHeight w:val="340"/>
        </w:trPr>
        <w:tc>
          <w:tcPr>
            <w:tcW w:w="3119" w:type="dxa"/>
            <w:shd w:val="clear" w:color="auto" w:fill="B4DDFF"/>
            <w:vAlign w:val="center"/>
          </w:tcPr>
          <w:p w14:paraId="52CD77A7" w14:textId="77777777" w:rsidR="00A900E3" w:rsidRPr="008928FB" w:rsidRDefault="00A900E3" w:rsidP="00AF3B53">
            <w:pPr>
              <w:pStyle w:val="TableText"/>
              <w:shd w:val="clear" w:color="auto" w:fill="B4DDFF"/>
              <w:spacing w:before="0" w:after="0"/>
              <w:rPr>
                <w:sz w:val="18"/>
              </w:rPr>
            </w:pPr>
            <w:r>
              <w:rPr>
                <w:sz w:val="18"/>
              </w:rPr>
              <w:t>Version</w:t>
            </w:r>
          </w:p>
        </w:tc>
        <w:tc>
          <w:tcPr>
            <w:tcW w:w="6378" w:type="dxa"/>
            <w:shd w:val="clear" w:color="auto" w:fill="B4DDFF"/>
            <w:vAlign w:val="center"/>
          </w:tcPr>
          <w:p w14:paraId="2F74264C" w14:textId="77777777" w:rsidR="00A900E3" w:rsidRPr="008928FB" w:rsidRDefault="00A900E3" w:rsidP="00AF3B53">
            <w:pPr>
              <w:pStyle w:val="TableText"/>
              <w:shd w:val="clear" w:color="auto" w:fill="B4DDFF"/>
              <w:spacing w:before="0" w:after="0"/>
              <w:rPr>
                <w:sz w:val="18"/>
              </w:rPr>
            </w:pPr>
            <w:r>
              <w:rPr>
                <w:sz w:val="18"/>
              </w:rPr>
              <w:t>1.1</w:t>
            </w:r>
          </w:p>
        </w:tc>
      </w:tr>
      <w:tr w:rsidR="00A900E3" w14:paraId="30E936F8" w14:textId="77777777" w:rsidTr="00AF3B53">
        <w:trPr>
          <w:trHeight w:val="340"/>
        </w:trPr>
        <w:tc>
          <w:tcPr>
            <w:tcW w:w="3119" w:type="dxa"/>
            <w:shd w:val="clear" w:color="auto" w:fill="B4DDFF"/>
            <w:vAlign w:val="center"/>
          </w:tcPr>
          <w:p w14:paraId="67E6B033" w14:textId="77777777" w:rsidR="00A900E3" w:rsidRPr="008928FB" w:rsidRDefault="00A900E3" w:rsidP="00AF3B53">
            <w:pPr>
              <w:pStyle w:val="TableText"/>
              <w:shd w:val="clear" w:color="auto" w:fill="B4DDFF"/>
              <w:spacing w:before="0" w:after="0"/>
              <w:rPr>
                <w:sz w:val="18"/>
              </w:rPr>
            </w:pPr>
            <w:r>
              <w:rPr>
                <w:sz w:val="18"/>
              </w:rPr>
              <w:t>Classification/DLM</w:t>
            </w:r>
          </w:p>
        </w:tc>
        <w:tc>
          <w:tcPr>
            <w:tcW w:w="6378" w:type="dxa"/>
            <w:shd w:val="clear" w:color="auto" w:fill="B4DDFF"/>
            <w:vAlign w:val="center"/>
          </w:tcPr>
          <w:p w14:paraId="18027257" w14:textId="77777777" w:rsidR="00A900E3" w:rsidRPr="008928FB" w:rsidRDefault="00A900E3" w:rsidP="00AF3B53">
            <w:pPr>
              <w:pStyle w:val="TableText"/>
              <w:shd w:val="clear" w:color="auto" w:fill="B4DDFF"/>
              <w:spacing w:before="0" w:after="0"/>
              <w:rPr>
                <w:sz w:val="18"/>
              </w:rPr>
            </w:pPr>
            <w:r>
              <w:rPr>
                <w:sz w:val="18"/>
              </w:rPr>
              <w:t>Public-I1-A1</w:t>
            </w:r>
          </w:p>
        </w:tc>
      </w:tr>
      <w:tr w:rsidR="00A900E3" w14:paraId="5EC4D212" w14:textId="77777777" w:rsidTr="00AF3B53">
        <w:trPr>
          <w:trHeight w:val="340"/>
        </w:trPr>
        <w:tc>
          <w:tcPr>
            <w:tcW w:w="3119" w:type="dxa"/>
            <w:shd w:val="clear" w:color="auto" w:fill="B4DDFF"/>
            <w:vAlign w:val="center"/>
          </w:tcPr>
          <w:p w14:paraId="7DEE86E1" w14:textId="77777777" w:rsidR="00A900E3" w:rsidRPr="008928FB" w:rsidRDefault="00A900E3" w:rsidP="00AF3B53">
            <w:pPr>
              <w:pStyle w:val="TableText"/>
              <w:shd w:val="clear" w:color="auto" w:fill="B4DDFF"/>
              <w:spacing w:before="0" w:after="0"/>
              <w:rPr>
                <w:sz w:val="18"/>
              </w:rPr>
            </w:pPr>
            <w:r>
              <w:rPr>
                <w:sz w:val="18"/>
              </w:rPr>
              <w:t>Compliance</w:t>
            </w:r>
          </w:p>
        </w:tc>
        <w:tc>
          <w:tcPr>
            <w:tcW w:w="6378" w:type="dxa"/>
            <w:shd w:val="clear" w:color="auto" w:fill="B4DDFF"/>
            <w:vAlign w:val="center"/>
          </w:tcPr>
          <w:p w14:paraId="42B96E2F" w14:textId="77777777" w:rsidR="00A900E3" w:rsidRPr="008928FB" w:rsidRDefault="00A900E3" w:rsidP="00AF3B53">
            <w:pPr>
              <w:pStyle w:val="TableText"/>
              <w:shd w:val="clear" w:color="auto" w:fill="B4DDFF"/>
              <w:spacing w:before="0" w:after="0"/>
              <w:rPr>
                <w:sz w:val="18"/>
              </w:rPr>
            </w:pPr>
            <w:r>
              <w:rPr>
                <w:sz w:val="18"/>
              </w:rPr>
              <w:t>Mandatory</w:t>
            </w:r>
          </w:p>
        </w:tc>
      </w:tr>
      <w:tr w:rsidR="00A900E3" w14:paraId="5CBD5A3E" w14:textId="77777777" w:rsidTr="00AF3B53">
        <w:trPr>
          <w:trHeight w:val="340"/>
        </w:trPr>
        <w:tc>
          <w:tcPr>
            <w:tcW w:w="3119" w:type="dxa"/>
            <w:shd w:val="clear" w:color="auto" w:fill="B4DDFF"/>
            <w:vAlign w:val="center"/>
          </w:tcPr>
          <w:p w14:paraId="3FBBE3F1" w14:textId="77777777" w:rsidR="00A900E3" w:rsidRPr="008928FB" w:rsidRDefault="00A900E3" w:rsidP="00AF3B53">
            <w:pPr>
              <w:pStyle w:val="TableText"/>
              <w:shd w:val="clear" w:color="auto" w:fill="B4DDFF"/>
              <w:spacing w:before="0" w:after="0"/>
              <w:rPr>
                <w:sz w:val="18"/>
              </w:rPr>
            </w:pPr>
            <w:r>
              <w:rPr>
                <w:sz w:val="18"/>
              </w:rPr>
              <w:t>Original authorisation date</w:t>
            </w:r>
          </w:p>
        </w:tc>
        <w:tc>
          <w:tcPr>
            <w:tcW w:w="6378" w:type="dxa"/>
            <w:shd w:val="clear" w:color="auto" w:fill="B4DDFF"/>
            <w:vAlign w:val="center"/>
          </w:tcPr>
          <w:p w14:paraId="26246181" w14:textId="77777777" w:rsidR="00A900E3" w:rsidRPr="008928FB" w:rsidRDefault="00A900E3" w:rsidP="00AF3B53">
            <w:pPr>
              <w:pStyle w:val="TableText"/>
              <w:shd w:val="clear" w:color="auto" w:fill="B4DDFF"/>
              <w:spacing w:before="0" w:after="0"/>
              <w:rPr>
                <w:sz w:val="18"/>
              </w:rPr>
            </w:pPr>
            <w:r>
              <w:rPr>
                <w:sz w:val="18"/>
              </w:rPr>
              <w:t>November 2016</w:t>
            </w:r>
          </w:p>
        </w:tc>
      </w:tr>
      <w:tr w:rsidR="00A900E3" w14:paraId="56EBF6DF" w14:textId="77777777" w:rsidTr="00AF3B53">
        <w:trPr>
          <w:trHeight w:val="340"/>
        </w:trPr>
        <w:tc>
          <w:tcPr>
            <w:tcW w:w="3119" w:type="dxa"/>
            <w:shd w:val="clear" w:color="auto" w:fill="B4DDFF"/>
            <w:vAlign w:val="center"/>
          </w:tcPr>
          <w:p w14:paraId="673BE831" w14:textId="77777777" w:rsidR="00A900E3" w:rsidRPr="008928FB" w:rsidRDefault="00A900E3" w:rsidP="00AF3B53">
            <w:pPr>
              <w:pStyle w:val="TableText"/>
              <w:shd w:val="clear" w:color="auto" w:fill="B4DDFF"/>
              <w:spacing w:before="0" w:after="0"/>
              <w:rPr>
                <w:sz w:val="18"/>
              </w:rPr>
            </w:pPr>
            <w:r>
              <w:rPr>
                <w:sz w:val="18"/>
              </w:rPr>
              <w:t>Last approval date</w:t>
            </w:r>
          </w:p>
        </w:tc>
        <w:tc>
          <w:tcPr>
            <w:tcW w:w="6378" w:type="dxa"/>
            <w:shd w:val="clear" w:color="auto" w:fill="B4DDFF"/>
            <w:vAlign w:val="center"/>
          </w:tcPr>
          <w:p w14:paraId="0047A0AF" w14:textId="77777777" w:rsidR="00A900E3" w:rsidRPr="008928FB" w:rsidRDefault="00A900E3" w:rsidP="00AF3B53">
            <w:pPr>
              <w:pStyle w:val="TableText"/>
              <w:shd w:val="clear" w:color="auto" w:fill="B4DDFF"/>
              <w:spacing w:before="0" w:after="0"/>
              <w:rPr>
                <w:sz w:val="18"/>
              </w:rPr>
            </w:pPr>
            <w:r>
              <w:rPr>
                <w:sz w:val="18"/>
              </w:rPr>
              <w:t>November 2017</w:t>
            </w:r>
          </w:p>
        </w:tc>
      </w:tr>
      <w:tr w:rsidR="00A900E3" w14:paraId="029DD002" w14:textId="77777777" w:rsidTr="00AF3B53">
        <w:trPr>
          <w:trHeight w:val="340"/>
        </w:trPr>
        <w:tc>
          <w:tcPr>
            <w:tcW w:w="3119" w:type="dxa"/>
            <w:shd w:val="clear" w:color="auto" w:fill="B4DDFF"/>
            <w:vAlign w:val="center"/>
          </w:tcPr>
          <w:p w14:paraId="356AA3AD" w14:textId="77777777" w:rsidR="00A900E3" w:rsidRPr="008928FB" w:rsidRDefault="00A900E3" w:rsidP="00AF3B53">
            <w:pPr>
              <w:pStyle w:val="TableText"/>
              <w:shd w:val="clear" w:color="auto" w:fill="B4DDFF"/>
              <w:spacing w:before="0" w:after="0"/>
              <w:rPr>
                <w:sz w:val="18"/>
              </w:rPr>
            </w:pPr>
            <w:r>
              <w:rPr>
                <w:sz w:val="18"/>
              </w:rPr>
              <w:t>Next review date</w:t>
            </w:r>
          </w:p>
        </w:tc>
        <w:tc>
          <w:tcPr>
            <w:tcW w:w="6378" w:type="dxa"/>
            <w:shd w:val="clear" w:color="auto" w:fill="B4DDFF"/>
            <w:vAlign w:val="center"/>
          </w:tcPr>
          <w:p w14:paraId="571603D4" w14:textId="77777777" w:rsidR="00A900E3" w:rsidRPr="008928FB" w:rsidRDefault="00A900E3" w:rsidP="00AF3B53">
            <w:pPr>
              <w:pStyle w:val="TableText"/>
              <w:shd w:val="clear" w:color="auto" w:fill="B4DDFF"/>
              <w:spacing w:before="0" w:after="0"/>
              <w:rPr>
                <w:sz w:val="18"/>
              </w:rPr>
            </w:pPr>
            <w:r>
              <w:rPr>
                <w:sz w:val="18"/>
              </w:rPr>
              <w:t>November 2019</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A900E3" w14:paraId="1E4E60AB" w14:textId="77777777" w:rsidTr="00AF3B53">
        <w:trPr>
          <w:trHeight w:val="454"/>
        </w:trPr>
        <w:tc>
          <w:tcPr>
            <w:tcW w:w="9494" w:type="dxa"/>
            <w:shd w:val="clear" w:color="auto" w:fill="B4DDFF"/>
            <w:vAlign w:val="center"/>
          </w:tcPr>
          <w:p w14:paraId="7B419718" w14:textId="77777777" w:rsidR="00A900E3" w:rsidRPr="007D7F5F" w:rsidRDefault="00A900E3" w:rsidP="00AF3B53">
            <w:pPr>
              <w:pStyle w:val="-Normal1-"/>
              <w:shd w:val="clear" w:color="auto" w:fill="B4DDFF"/>
            </w:pPr>
            <w:r w:rsidRPr="00126C6F">
              <w:t>Licence</w:t>
            </w:r>
          </w:p>
        </w:tc>
      </w:tr>
      <w:tr w:rsidR="00A900E3" w14:paraId="74DBD76F" w14:textId="77777777" w:rsidTr="00AF3B53">
        <w:trPr>
          <w:trHeight w:val="340"/>
        </w:trPr>
        <w:tc>
          <w:tcPr>
            <w:tcW w:w="9494" w:type="dxa"/>
            <w:vAlign w:val="center"/>
          </w:tcPr>
          <w:p w14:paraId="3FDF4EB9" w14:textId="77777777" w:rsidR="00A900E3" w:rsidRDefault="00A900E3" w:rsidP="00AF3B53">
            <w:pPr>
              <w:pStyle w:val="-Normal1-"/>
            </w:pPr>
            <w:r w:rsidRPr="00684B9E">
              <w:rPr>
                <w:noProof/>
              </w:rPr>
              <w:drawing>
                <wp:anchor distT="0" distB="0" distL="114300" distR="114300" simplePos="0" relativeHeight="251659264" behindDoc="0" locked="0" layoutInCell="1" allowOverlap="1" wp14:anchorId="22C21BAC" wp14:editId="0BAC6A4F">
                  <wp:simplePos x="0" y="0"/>
                  <wp:positionH relativeFrom="column">
                    <wp:posOffset>-674370</wp:posOffset>
                  </wp:positionH>
                  <wp:positionV relativeFrom="paragraph">
                    <wp:posOffset>133350</wp:posOffset>
                  </wp:positionV>
                  <wp:extent cx="838200" cy="294640"/>
                  <wp:effectExtent l="0" t="0" r="0" b="0"/>
                  <wp:wrapSquare wrapText="bothSides"/>
                  <wp:docPr id="15"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900E3" w14:paraId="52DD2F10" w14:textId="77777777" w:rsidTr="00AF3B53">
        <w:trPr>
          <w:trHeight w:val="1247"/>
        </w:trPr>
        <w:tc>
          <w:tcPr>
            <w:tcW w:w="9494" w:type="dxa"/>
            <w:vAlign w:val="center"/>
          </w:tcPr>
          <w:p w14:paraId="30E4C16D" w14:textId="09976CBE" w:rsidR="00A900E3" w:rsidRPr="00126C6F" w:rsidRDefault="00A900E3" w:rsidP="00AF3B53">
            <w:pPr>
              <w:pStyle w:val="-Normal1-"/>
            </w:pPr>
            <w:r w:rsidRPr="00126C6F">
              <w:t xml:space="preserve">With the exception of the Government of South Australia brand, logos and any images, this work is licensed under a </w:t>
            </w:r>
            <w:hyperlink r:id="rId16" w:history="1">
              <w:r w:rsidRPr="00256533">
                <w:rPr>
                  <w:color w:val="3366CC"/>
                  <w:u w:val="single"/>
                </w:rPr>
                <w:t>Creative Commons Attribution (CC BY) 4.0 Licence</w:t>
              </w:r>
            </w:hyperlink>
            <w:r w:rsidRPr="00126C6F">
              <w:t>. To attribute this material, cite Department of the Premier and Cabinet, Government of South Australia, 201</w:t>
            </w:r>
            <w:r w:rsidR="003C4B50">
              <w:t>9</w:t>
            </w:r>
            <w:r w:rsidRPr="00126C6F">
              <w:t>.</w:t>
            </w:r>
          </w:p>
        </w:tc>
      </w:tr>
      <w:bookmarkEnd w:id="45"/>
    </w:tbl>
    <w:p w14:paraId="0A63690F" w14:textId="77777777" w:rsidR="00A900E3" w:rsidRPr="00E54589" w:rsidRDefault="00A900E3" w:rsidP="00A900E3">
      <w:pPr>
        <w:rPr>
          <w:rFonts w:cs="Arial"/>
        </w:rPr>
      </w:pPr>
    </w:p>
    <w:sectPr w:rsidR="00A900E3" w:rsidRPr="00E54589" w:rsidSect="00F32317">
      <w:headerReference w:type="default" r:id="rId17"/>
      <w:footerReference w:type="default" r:id="rId18"/>
      <w:headerReference w:type="first" r:id="rId19"/>
      <w:footerReference w:type="first" r:id="rId20"/>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930AF" w14:textId="77777777" w:rsidR="006F0959" w:rsidRDefault="006F0959" w:rsidP="00AF7F16">
      <w:r>
        <w:separator/>
      </w:r>
    </w:p>
  </w:endnote>
  <w:endnote w:type="continuationSeparator" w:id="0">
    <w:p w14:paraId="374B44EB" w14:textId="77777777" w:rsidR="006F0959" w:rsidRDefault="006F0959"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080651">
      <w:trPr>
        <w:trHeight w:val="290"/>
      </w:trPr>
      <w:tc>
        <w:tcPr>
          <w:tcW w:w="1702" w:type="dxa"/>
          <w:shd w:val="clear" w:color="auto" w:fill="004B88" w:themeFill="text2"/>
          <w:vAlign w:val="center"/>
        </w:tcPr>
        <w:p w14:paraId="283EF57B"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125C290B" w14:textId="2F2CD346" w:rsidR="00084360" w:rsidRPr="008011DC" w:rsidRDefault="00084360" w:rsidP="00084360">
          <w:pPr>
            <w:pStyle w:val="Pagenumbers"/>
          </w:pPr>
        </w:p>
      </w:tc>
    </w:tr>
  </w:tbl>
  <w:p w14:paraId="1F4FE57C" w14:textId="43E0B463" w:rsidR="003B5AC0" w:rsidRDefault="00EF14E7" w:rsidP="00545EC0">
    <w:pPr>
      <w:pStyle w:val="Footer"/>
      <w:tabs>
        <w:tab w:val="clear" w:pos="4320"/>
        <w:tab w:val="clear" w:pos="8640"/>
      </w:tabs>
      <w:ind w:left="-993" w:right="-1127"/>
    </w:pPr>
    <w:r>
      <w:rPr>
        <w:rFonts w:ascii="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36978B2E" wp14:editId="558EAE86">
              <wp:simplePos x="0" y="0"/>
              <wp:positionH relativeFrom="margin">
                <wp:posOffset>581025</wp:posOffset>
              </wp:positionH>
              <wp:positionV relativeFrom="page">
                <wp:posOffset>10323830</wp:posOffset>
              </wp:positionV>
              <wp:extent cx="5039995" cy="360045"/>
              <wp:effectExtent l="0" t="0" r="8255" b="1905"/>
              <wp:wrapNone/>
              <wp:docPr id="6" name="Text Box 6"/>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52D53F20" w14:textId="77777777" w:rsidR="00EF14E7" w:rsidRDefault="00EF14E7" w:rsidP="00EF14E7">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78B2E" id="_x0000_t202" coordsize="21600,21600" o:spt="202" path="m,l,21600r21600,l21600,xe">
              <v:stroke joinstyle="miter"/>
              <v:path gradientshapeok="t" o:connecttype="rect"/>
            </v:shapetype>
            <v:shape id="Text Box 6" o:spid="_x0000_s1027" type="#_x0000_t202" style="position:absolute;left:0;text-align:left;margin-left:45.75pt;margin-top:812.9pt;width:396.8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" filled="f" stroked="f" strokeweight=".5pt">
              <v:textbox inset="0,0,0,0">
                <w:txbxContent>
                  <w:p w14:paraId="52D53F20" w14:textId="77777777" w:rsidR="00EF14E7" w:rsidRDefault="00EF14E7" w:rsidP="00EF14E7">
                    <w:pPr>
                      <w:jc w:val="center"/>
                    </w:pPr>
                    <w:r>
                      <w:rPr>
                        <w:b/>
                        <w:color w:val="C00000"/>
                        <w:szCs w:val="18"/>
                      </w:rPr>
                      <w:t>OFFICIAL</w:t>
                    </w:r>
                  </w:p>
                </w:txbxContent>
              </v:textbox>
              <w10:wrap anchorx="margin" anchory="page"/>
            </v:shape>
          </w:pict>
        </mc:Fallback>
      </mc:AlternateContent>
    </w:r>
    <w:r>
      <w:rPr>
        <w:noProof/>
      </w:rPr>
      <w:drawing>
        <wp:anchor distT="0" distB="0" distL="114300" distR="114300" simplePos="0" relativeHeight="251669504" behindDoc="1" locked="0" layoutInCell="1" allowOverlap="1" wp14:anchorId="6EC33BAD" wp14:editId="41758C28">
          <wp:simplePos x="0" y="0"/>
          <wp:positionH relativeFrom="margin">
            <wp:posOffset>0</wp:posOffset>
          </wp:positionH>
          <wp:positionV relativeFrom="paragraph">
            <wp:posOffset>-360045</wp:posOffset>
          </wp:positionV>
          <wp:extent cx="6210300" cy="7391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91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080651">
      <w:trPr>
        <w:trHeight w:val="290"/>
      </w:trPr>
      <w:tc>
        <w:tcPr>
          <w:tcW w:w="1702" w:type="dxa"/>
          <w:shd w:val="clear" w:color="auto" w:fill="004B88" w:themeFill="text2"/>
          <w:vAlign w:val="center"/>
        </w:tcPr>
        <w:p w14:paraId="4333DB7A"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3777A8EB" w14:textId="0E2C0D17" w:rsidR="00084360" w:rsidRPr="00084360" w:rsidRDefault="00084360" w:rsidP="00084360">
          <w:pPr>
            <w:spacing w:after="0" w:line="240" w:lineRule="auto"/>
            <w:rPr>
              <w:sz w:val="18"/>
              <w:szCs w:val="18"/>
            </w:rPr>
          </w:pPr>
        </w:p>
      </w:tc>
    </w:tr>
  </w:tbl>
  <w:p w14:paraId="58EF6B17" w14:textId="1D399A15" w:rsidR="003B5AC0" w:rsidRDefault="00EF14E7" w:rsidP="00AC730E">
    <w:pPr>
      <w:pStyle w:val="Footer"/>
      <w:tabs>
        <w:tab w:val="clear" w:pos="4320"/>
        <w:tab w:val="clear" w:pos="8640"/>
      </w:tabs>
    </w:pPr>
    <w:r>
      <w:rPr>
        <w:rFonts w:ascii="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7F7DA570" wp14:editId="38E552DF">
              <wp:simplePos x="0" y="0"/>
              <wp:positionH relativeFrom="page">
                <wp:align>center</wp:align>
              </wp:positionH>
              <wp:positionV relativeFrom="page">
                <wp:posOffset>10305415</wp:posOffset>
              </wp:positionV>
              <wp:extent cx="5039995" cy="360045"/>
              <wp:effectExtent l="0" t="0" r="8255" b="1905"/>
              <wp:wrapNone/>
              <wp:docPr id="2" name="Text Box 2"/>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1240C31C" w14:textId="77777777" w:rsidR="00EF14E7" w:rsidRDefault="00EF14E7" w:rsidP="00EF14E7">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DA570" id="_x0000_t202" coordsize="21600,21600" o:spt="202" path="m,l,21600r21600,l21600,xe">
              <v:stroke joinstyle="miter"/>
              <v:path gradientshapeok="t" o:connecttype="rect"/>
            </v:shapetype>
            <v:shape id="Text Box 2" o:spid="_x0000_s1029" type="#_x0000_t202" style="position:absolute;margin-left:0;margin-top:811.45pt;width:396.85pt;height:28.3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" filled="f" stroked="f" strokeweight=".5pt">
              <v:textbox inset="0,0,0,0">
                <w:txbxContent>
                  <w:p w14:paraId="1240C31C" w14:textId="77777777" w:rsidR="00EF14E7" w:rsidRDefault="00EF14E7" w:rsidP="00EF14E7">
                    <w:pPr>
                      <w:jc w:val="center"/>
                    </w:pPr>
                    <w:r>
                      <w:rPr>
                        <w:b/>
                        <w:color w:val="C00000"/>
                        <w:szCs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E603" w14:textId="77777777" w:rsidR="006F0959" w:rsidRDefault="006F0959" w:rsidP="00AF7F16">
      <w:r>
        <w:separator/>
      </w:r>
    </w:p>
  </w:footnote>
  <w:footnote w:type="continuationSeparator" w:id="0">
    <w:p w14:paraId="4D8DF084" w14:textId="77777777" w:rsidR="006F0959" w:rsidRDefault="006F0959"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D284" w14:textId="5A2C1051" w:rsidR="00EF14E7" w:rsidRDefault="00EF14E7">
    <w:pPr>
      <w:pStyle w:val="Header"/>
    </w:pPr>
    <w:r>
      <w:rPr>
        <w:rFonts w:ascii="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002DD06F" wp14:editId="6E6984AA">
              <wp:simplePos x="0" y="0"/>
              <wp:positionH relativeFrom="margin">
                <wp:align>center</wp:align>
              </wp:positionH>
              <wp:positionV relativeFrom="page">
                <wp:posOffset>190500</wp:posOffset>
              </wp:positionV>
              <wp:extent cx="5039995" cy="360045"/>
              <wp:effectExtent l="0" t="0" r="8255" b="1905"/>
              <wp:wrapNone/>
              <wp:docPr id="4" name="Text Box 4"/>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78A1D4CA" w14:textId="77777777" w:rsidR="00EF14E7" w:rsidRDefault="00EF14E7" w:rsidP="00EF14E7">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DD06F" id="_x0000_t202" coordsize="21600,21600" o:spt="202" path="m,l,21600r21600,l21600,xe">
              <v:stroke joinstyle="miter"/>
              <v:path gradientshapeok="t" o:connecttype="rect"/>
            </v:shapetype>
            <v:shape id="Text Box 4" o:spid="_x0000_s1026" type="#_x0000_t202" style="position:absolute;margin-left:0;margin-top:15pt;width:396.85pt;height:2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" filled="f" stroked="f" strokeweight=".5pt">
              <v:textbox inset="0,0,0,0">
                <w:txbxContent>
                  <w:p w14:paraId="78A1D4CA" w14:textId="77777777" w:rsidR="00EF14E7" w:rsidRDefault="00EF14E7" w:rsidP="00EF14E7">
                    <w:pPr>
                      <w:jc w:val="center"/>
                    </w:pPr>
                    <w:r>
                      <w:rPr>
                        <w:b/>
                        <w:color w:val="C00000"/>
                        <w:szCs w:val="18"/>
                      </w:rPr>
                      <w:t>OFFICIAL</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FC93" w14:textId="12AE21DF" w:rsidR="003B5AC0" w:rsidRDefault="00EF14E7" w:rsidP="00545EC0">
    <w:pPr>
      <w:pStyle w:val="Header"/>
      <w:tabs>
        <w:tab w:val="clear" w:pos="8640"/>
      </w:tabs>
      <w:ind w:left="-993"/>
    </w:pPr>
    <w:r>
      <w:rPr>
        <w:rFonts w:ascii="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479FA62F" wp14:editId="79E2CFCA">
              <wp:simplePos x="0" y="0"/>
              <wp:positionH relativeFrom="page">
                <wp:align>center</wp:align>
              </wp:positionH>
              <wp:positionV relativeFrom="topMargin">
                <wp:posOffset>95250</wp:posOffset>
              </wp:positionV>
              <wp:extent cx="5039995" cy="35941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52B7365C" w14:textId="77777777" w:rsidR="00EF14E7" w:rsidRDefault="00EF14E7" w:rsidP="00EF14E7">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FA62F" id="_x0000_t202" coordsize="21600,21600" o:spt="202" path="m,l,21600r21600,l21600,xe">
              <v:stroke joinstyle="miter"/>
              <v:path gradientshapeok="t" o:connecttype="rect"/>
            </v:shapetype>
            <v:shape id="Text Box 3" o:spid="_x0000_s1028" type="#_x0000_t202" style="position:absolute;left:0;text-align:left;margin-left:0;margin-top:7.5pt;width:396.85pt;height:28.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" filled="f" stroked="f" strokeweight=".5pt">
              <v:textbox inset="0,0,0,0">
                <w:txbxContent>
                  <w:p w14:paraId="52B7365C" w14:textId="77777777" w:rsidR="00EF14E7" w:rsidRDefault="00EF14E7" w:rsidP="00EF14E7">
                    <w:pPr>
                      <w:jc w:val="center"/>
                    </w:pPr>
                    <w:r>
                      <w:rPr>
                        <w:b/>
                        <w:color w:val="C00000"/>
                        <w:szCs w:val="18"/>
                      </w:rPr>
                      <w:t>OFFICIAL</w:t>
                    </w:r>
                  </w:p>
                </w:txbxContent>
              </v:textbox>
              <w10:wrap anchorx="page" anchory="margin"/>
            </v:shape>
          </w:pict>
        </mc:Fallback>
      </mc:AlternateContent>
    </w:r>
    <w:r>
      <w:rPr>
        <w:rFonts w:ascii="Times New Roman" w:hAnsi="Times New Roman" w:cs="Times New Roman"/>
        <w:noProof/>
        <w:sz w:val="24"/>
        <w:szCs w:val="24"/>
        <w:lang w:eastAsia="en-AU"/>
      </w:rPr>
      <w:drawing>
        <wp:anchor distT="0" distB="0" distL="114300" distR="114300" simplePos="0" relativeHeight="251661312" behindDoc="0" locked="0" layoutInCell="1" allowOverlap="1" wp14:anchorId="4EA268EA" wp14:editId="3817FA4E">
          <wp:simplePos x="0" y="0"/>
          <wp:positionH relativeFrom="margin">
            <wp:posOffset>0</wp:posOffset>
          </wp:positionH>
          <wp:positionV relativeFrom="paragraph">
            <wp:posOffset>116205</wp:posOffset>
          </wp:positionV>
          <wp:extent cx="6210300" cy="1139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701F1"/>
    <w:multiLevelType w:val="hybridMultilevel"/>
    <w:tmpl w:val="32B6D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25EA1"/>
    <w:rsid w:val="00030D16"/>
    <w:rsid w:val="00074592"/>
    <w:rsid w:val="00084360"/>
    <w:rsid w:val="000A7301"/>
    <w:rsid w:val="000F4860"/>
    <w:rsid w:val="001043B7"/>
    <w:rsid w:val="001135E1"/>
    <w:rsid w:val="00143C32"/>
    <w:rsid w:val="0017021E"/>
    <w:rsid w:val="00172576"/>
    <w:rsid w:val="001950DD"/>
    <w:rsid w:val="001A1918"/>
    <w:rsid w:val="001A46FD"/>
    <w:rsid w:val="001B6593"/>
    <w:rsid w:val="001D5D67"/>
    <w:rsid w:val="001E0EA8"/>
    <w:rsid w:val="00212870"/>
    <w:rsid w:val="00212945"/>
    <w:rsid w:val="0026074C"/>
    <w:rsid w:val="00284B34"/>
    <w:rsid w:val="00285524"/>
    <w:rsid w:val="00291DD0"/>
    <w:rsid w:val="002A3288"/>
    <w:rsid w:val="002D60F4"/>
    <w:rsid w:val="002E0A93"/>
    <w:rsid w:val="002F166C"/>
    <w:rsid w:val="002F6E4E"/>
    <w:rsid w:val="0031595F"/>
    <w:rsid w:val="003233C4"/>
    <w:rsid w:val="00324804"/>
    <w:rsid w:val="00324C35"/>
    <w:rsid w:val="00336C9F"/>
    <w:rsid w:val="00336DE8"/>
    <w:rsid w:val="00340461"/>
    <w:rsid w:val="00397BB1"/>
    <w:rsid w:val="003B5AC0"/>
    <w:rsid w:val="003C4B50"/>
    <w:rsid w:val="003E0EC1"/>
    <w:rsid w:val="003F2DFB"/>
    <w:rsid w:val="00412E2D"/>
    <w:rsid w:val="00417C99"/>
    <w:rsid w:val="00450A47"/>
    <w:rsid w:val="00451E51"/>
    <w:rsid w:val="004669FB"/>
    <w:rsid w:val="00477C43"/>
    <w:rsid w:val="004D5F40"/>
    <w:rsid w:val="004F23B4"/>
    <w:rsid w:val="005079A5"/>
    <w:rsid w:val="00537998"/>
    <w:rsid w:val="00545EC0"/>
    <w:rsid w:val="00575358"/>
    <w:rsid w:val="00585FD0"/>
    <w:rsid w:val="0059742B"/>
    <w:rsid w:val="005B045E"/>
    <w:rsid w:val="005F2F62"/>
    <w:rsid w:val="005F3700"/>
    <w:rsid w:val="00621676"/>
    <w:rsid w:val="00634963"/>
    <w:rsid w:val="006446E4"/>
    <w:rsid w:val="00647083"/>
    <w:rsid w:val="00656BB5"/>
    <w:rsid w:val="00661EB5"/>
    <w:rsid w:val="00663AB2"/>
    <w:rsid w:val="00670778"/>
    <w:rsid w:val="006A1C31"/>
    <w:rsid w:val="006C0CCF"/>
    <w:rsid w:val="006C5662"/>
    <w:rsid w:val="006D11D1"/>
    <w:rsid w:val="006D3A4C"/>
    <w:rsid w:val="006F0959"/>
    <w:rsid w:val="0072288E"/>
    <w:rsid w:val="00724E9F"/>
    <w:rsid w:val="00747C07"/>
    <w:rsid w:val="00750584"/>
    <w:rsid w:val="00752F55"/>
    <w:rsid w:val="00780AB8"/>
    <w:rsid w:val="00787875"/>
    <w:rsid w:val="007A1000"/>
    <w:rsid w:val="007C3140"/>
    <w:rsid w:val="007E0FBE"/>
    <w:rsid w:val="007F3695"/>
    <w:rsid w:val="007F469B"/>
    <w:rsid w:val="008005B5"/>
    <w:rsid w:val="0084633D"/>
    <w:rsid w:val="0085065A"/>
    <w:rsid w:val="008915D1"/>
    <w:rsid w:val="008A18A5"/>
    <w:rsid w:val="008A5B3A"/>
    <w:rsid w:val="008A6C7C"/>
    <w:rsid w:val="008F226D"/>
    <w:rsid w:val="008F7591"/>
    <w:rsid w:val="00933A1D"/>
    <w:rsid w:val="00937A73"/>
    <w:rsid w:val="00981627"/>
    <w:rsid w:val="00996376"/>
    <w:rsid w:val="00997F44"/>
    <w:rsid w:val="009D7060"/>
    <w:rsid w:val="009D7D9A"/>
    <w:rsid w:val="009E32A5"/>
    <w:rsid w:val="00A15919"/>
    <w:rsid w:val="00A5740B"/>
    <w:rsid w:val="00A85851"/>
    <w:rsid w:val="00A86F6C"/>
    <w:rsid w:val="00A900E3"/>
    <w:rsid w:val="00AA11EE"/>
    <w:rsid w:val="00AA6103"/>
    <w:rsid w:val="00AC2019"/>
    <w:rsid w:val="00AC730E"/>
    <w:rsid w:val="00AD26EE"/>
    <w:rsid w:val="00AD4171"/>
    <w:rsid w:val="00AE73F3"/>
    <w:rsid w:val="00AF7F16"/>
    <w:rsid w:val="00B00277"/>
    <w:rsid w:val="00B33A04"/>
    <w:rsid w:val="00BE1653"/>
    <w:rsid w:val="00C850E4"/>
    <w:rsid w:val="00CA03FB"/>
    <w:rsid w:val="00CD4126"/>
    <w:rsid w:val="00CF0B15"/>
    <w:rsid w:val="00CF79CB"/>
    <w:rsid w:val="00D11EDC"/>
    <w:rsid w:val="00D12D6C"/>
    <w:rsid w:val="00D542FC"/>
    <w:rsid w:val="00D570B7"/>
    <w:rsid w:val="00D64278"/>
    <w:rsid w:val="00D70FFA"/>
    <w:rsid w:val="00D76CAD"/>
    <w:rsid w:val="00D83B28"/>
    <w:rsid w:val="00D95C4B"/>
    <w:rsid w:val="00DB073B"/>
    <w:rsid w:val="00DD1AC8"/>
    <w:rsid w:val="00DD358E"/>
    <w:rsid w:val="00E101C5"/>
    <w:rsid w:val="00E20E1E"/>
    <w:rsid w:val="00E2182E"/>
    <w:rsid w:val="00E32297"/>
    <w:rsid w:val="00E401AC"/>
    <w:rsid w:val="00E45F67"/>
    <w:rsid w:val="00E5702C"/>
    <w:rsid w:val="00E61F11"/>
    <w:rsid w:val="00E72A73"/>
    <w:rsid w:val="00E83FBC"/>
    <w:rsid w:val="00EB20ED"/>
    <w:rsid w:val="00EF14E7"/>
    <w:rsid w:val="00F27EC5"/>
    <w:rsid w:val="00F32317"/>
    <w:rsid w:val="00F60D07"/>
    <w:rsid w:val="00F83567"/>
    <w:rsid w:val="00F87A29"/>
    <w:rsid w:val="00F97D5A"/>
    <w:rsid w:val="00FB577D"/>
    <w:rsid w:val="00FB5CA4"/>
    <w:rsid w:val="00FD470E"/>
    <w:rsid w:val="00FE4EE6"/>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9D7060"/>
  </w:style>
  <w:style w:type="character" w:styleId="FootnoteReference">
    <w:name w:val="footnote reference"/>
    <w:basedOn w:val="DefaultParagraphFont"/>
    <w:uiPriority w:val="99"/>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paragraph" w:styleId="BodyText2">
    <w:name w:val="Body Text 2"/>
    <w:basedOn w:val="Normal"/>
    <w:link w:val="BodyText2Char"/>
    <w:rsid w:val="00A900E3"/>
    <w:pPr>
      <w:spacing w:after="0" w:line="240" w:lineRule="auto"/>
      <w:ind w:left="720"/>
    </w:pPr>
    <w:rPr>
      <w:rFonts w:eastAsia="Times New Roman" w:cs="Arial"/>
      <w:bCs/>
      <w:szCs w:val="20"/>
    </w:rPr>
  </w:style>
  <w:style w:type="character" w:customStyle="1" w:styleId="BodyText2Char">
    <w:name w:val="Body Text 2 Char"/>
    <w:basedOn w:val="DefaultParagraphFont"/>
    <w:link w:val="BodyText2"/>
    <w:rsid w:val="00A900E3"/>
    <w:rPr>
      <w:rFonts w:eastAsia="Times New Roman" w:cs="Arial"/>
      <w:bCs/>
      <w:szCs w:val="20"/>
    </w:rPr>
  </w:style>
  <w:style w:type="paragraph" w:customStyle="1" w:styleId="Body">
    <w:name w:val="Body"/>
    <w:aliases w:val="text"/>
    <w:basedOn w:val="Normal"/>
    <w:rsid w:val="00A900E3"/>
    <w:pPr>
      <w:spacing w:after="170" w:line="240" w:lineRule="auto"/>
      <w:ind w:left="720"/>
      <w:jc w:val="both"/>
    </w:pPr>
    <w:rPr>
      <w:rFonts w:ascii="Times New Roman" w:eastAsia="Times New Roman" w:hAnsi="Times New Roman" w:cs="Times New Roman"/>
      <w:szCs w:val="20"/>
    </w:rPr>
  </w:style>
  <w:style w:type="character" w:styleId="FollowedHyperlink">
    <w:name w:val="FollowedHyperlink"/>
    <w:basedOn w:val="DefaultParagraphFont"/>
    <w:uiPriority w:val="98"/>
    <w:semiHidden/>
    <w:unhideWhenUsed/>
    <w:rsid w:val="001B6593"/>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c.sa.gov.au/digital/exemptio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pc.sa.gov.au/digital/compli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c.sa.gov.au/digital/exemption" TargetMode="External"/><Relationship Id="rId5" Type="http://schemas.openxmlformats.org/officeDocument/2006/relationships/settings" Target="settings.xml"/><Relationship Id="rId15" Type="http://schemas.openxmlformats.org/officeDocument/2006/relationships/image" Target="http://i.creativecommons.org/l/by/2.5/au/88x31.png" TargetMode="External"/><Relationship Id="rId10" Type="http://schemas.openxmlformats.org/officeDocument/2006/relationships/hyperlink" Target="https://dpc.sa.gov.au/digital/complianc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dpc.sa.gov.au/digital/exemption"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308B0169B604BF78408B4824B579E8E" version="1.0.0">
  <systemFields>
    <field name="Objective-Id">
      <value order="0">B174450</value>
    </field>
    <field name="Objective-Title">
      <value order="0">SAGEMS Naming Standards</value>
    </field>
    <field name="Objective-Description">
      <value order="0">The SA Government email address is used as authorisation criteria and is considered the one unique identifier across government. Consistent naming of email addresses is necessary to ensure their unique allocation and to facilitate the provision of government-wide security. </value>
    </field>
    <field name="Objective-CreationStamp">
      <value order="0">2018-02-27T04:26:10Z</value>
    </field>
    <field name="Objective-IsApproved">
      <value order="0">false</value>
    </field>
    <field name="Objective-IsPublished">
      <value order="0">false</value>
    </field>
    <field name="Objective-DatePublished">
      <value order="0"/>
    </field>
    <field name="Objective-ModificationStamp">
      <value order="0">2020-08-04T04:52:30Z</value>
    </field>
    <field name="Objective-Owner">
      <value order="0">Classified Object</value>
    </field>
    <field name="Objective-Path">
      <value order="0">Objective Global Folder:DIVISIONAL FOLDER STRUCTURE:ICT AND DIGITAL GOVERNMENT:ICTDG - Office for Digital Government:ICT and Digital Policy Management 2018:Policy Documents:Electronic Communication Policy</value>
    </field>
    <field name="Objective-Parent">
      <value order="0">Classified Object</value>
    </field>
    <field name="Objective-State">
      <value order="0">Being Edited</value>
    </field>
    <field name="Objective-VersionId">
      <value order="0">vB1139113</value>
    </field>
    <field name="Objective-Version">
      <value order="0">3.2</value>
    </field>
    <field name="Objective-VersionNumber">
      <value order="0">6</value>
    </field>
    <field name="Objective-VersionComment">
      <value order="0"/>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Standard</value>
      </field>
      <field name="Objective-Classification (Confidentiality)">
        <value order="0">OFFICIAL</value>
      </field>
      <field name="Objective-Caveat (IAC)">
        <value order="0"/>
      </field>
      <field name="Objective-Exclusive For (Name)">
        <value order="0"/>
      </field>
      <field name="Objective-Information Management Markers">
        <value order="0"/>
      </field>
      <field name="Objective-Connect Creator">
        <value order="0"/>
      </field>
      <field name="Objective-Division/Unit">
        <value order="0">COOCPO - ICTDG - Office for Digital Government</value>
      </field>
      <field name="Objective-Workgroup">
        <value order="0"/>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Props1.xml><?xml version="1.0" encoding="utf-8"?>
<ds:datastoreItem xmlns:ds="http://schemas.openxmlformats.org/officeDocument/2006/customXml" ds:itemID="{641EF40D-E117-468F-A029-E6C8B1F4DA2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6665</Characters>
  <Application>Microsoft Office Word</Application>
  <DocSecurity>0</DocSecurity>
  <Lines>165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2020-08-31T23:51:00Z</dcterms:created>
  <dcterms:modified xsi:type="dcterms:W3CDTF">2020-09-15T05:16:00Z</dcterms:modified>
</cp:coreProperties>
</file>