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9A00" w14:textId="77777777" w:rsidR="0069384E" w:rsidRDefault="0069384E" w:rsidP="00A44F7D">
      <w:bookmarkStart w:id="0" w:name="_Hlk531856535"/>
      <w:bookmarkStart w:id="1" w:name="_Hlk521945910"/>
    </w:p>
    <w:p w14:paraId="4C1606E9" w14:textId="77777777" w:rsidR="0069384E" w:rsidRDefault="0069384E" w:rsidP="00A44F7D"/>
    <w:p w14:paraId="4DA038F8" w14:textId="01D7BA63" w:rsidR="00E033AC" w:rsidRDefault="00E033AC" w:rsidP="00A44F7D">
      <w:r>
        <w:t>DPC/P3.1</w:t>
      </w:r>
    </w:p>
    <w:p w14:paraId="16B668C0" w14:textId="77777777" w:rsidR="00E033AC" w:rsidRDefault="00E033AC" w:rsidP="00A44F7D">
      <w:r>
        <w:t>ACROSS GOVERNMENT POLICY</w:t>
      </w:r>
    </w:p>
    <w:p w14:paraId="6EDD3B61" w14:textId="77777777" w:rsidR="00E033AC" w:rsidRPr="007F0198" w:rsidRDefault="00E033AC" w:rsidP="00E033AC">
      <w:pPr>
        <w:pStyle w:val="Title"/>
      </w:pPr>
      <w:r>
        <w:t xml:space="preserve">Cloud Services Policy </w:t>
      </w:r>
      <w:bookmarkEnd w:id="0"/>
      <w:r>
        <w:t>(ICT Policy Statement 3)</w:t>
      </w:r>
    </w:p>
    <w:p w14:paraId="383BE9D5" w14:textId="77777777" w:rsidR="00E033AC" w:rsidRPr="007F0198" w:rsidRDefault="00E033AC" w:rsidP="00E033AC">
      <w:pPr>
        <w:pStyle w:val="Heading1"/>
      </w:pPr>
      <w:r w:rsidRPr="007F0198">
        <w:t>Purpose</w:t>
      </w:r>
    </w:p>
    <w:p w14:paraId="0D3554DA" w14:textId="46FD58C3" w:rsidR="007E1552" w:rsidRPr="00E54589" w:rsidRDefault="007E1552" w:rsidP="007E1552">
      <w:pPr>
        <w:pStyle w:val="-Normal-"/>
        <w:rPr>
          <w:rFonts w:cs="Arial"/>
        </w:rPr>
      </w:pPr>
      <w:r w:rsidRPr="00E54589">
        <w:rPr>
          <w:rFonts w:cs="Arial"/>
        </w:rPr>
        <w:t>The intent and purpose of this policy is to e</w:t>
      </w:r>
      <w:r>
        <w:rPr>
          <w:rFonts w:cs="Arial"/>
        </w:rPr>
        <w:t>ncourage</w:t>
      </w:r>
      <w:r w:rsidRPr="00E54589">
        <w:rPr>
          <w:rFonts w:cs="Arial"/>
        </w:rPr>
        <w:t xml:space="preserve"> Public Sector </w:t>
      </w:r>
      <w:r w:rsidR="00DC513B">
        <w:rPr>
          <w:rFonts w:cs="Arial"/>
        </w:rPr>
        <w:t>a</w:t>
      </w:r>
      <w:r w:rsidRPr="00E54589">
        <w:rPr>
          <w:rFonts w:cs="Arial"/>
        </w:rPr>
        <w:t xml:space="preserve">gencies </w:t>
      </w:r>
      <w:r>
        <w:rPr>
          <w:rFonts w:cs="Arial"/>
        </w:rPr>
        <w:t xml:space="preserve">where suitable to </w:t>
      </w:r>
      <w:r w:rsidRPr="00E54589">
        <w:rPr>
          <w:rFonts w:cs="Arial"/>
        </w:rPr>
        <w:t xml:space="preserve">evaluate cloud services in ICT sourcing, procurement, or market approach. </w:t>
      </w:r>
      <w:r>
        <w:rPr>
          <w:rFonts w:cs="Arial"/>
        </w:rPr>
        <w:t>Suitability should be based on</w:t>
      </w:r>
      <w:r w:rsidRPr="00E54589">
        <w:rPr>
          <w:rFonts w:cs="Arial"/>
        </w:rPr>
        <w:t xml:space="preserve"> value for money in terms of innov</w:t>
      </w:r>
      <w:r>
        <w:rPr>
          <w:rFonts w:cs="Arial"/>
        </w:rPr>
        <w:t xml:space="preserve">ation or productivity outcomes, </w:t>
      </w:r>
      <w:r w:rsidRPr="00E54589">
        <w:rPr>
          <w:rFonts w:cs="Arial"/>
        </w:rPr>
        <w:t xml:space="preserve">business needs, resilience, and risk, as well as compliance with any relevant legislation, instructions, policies, standards, and rulings. </w:t>
      </w:r>
    </w:p>
    <w:p w14:paraId="2A5A4448" w14:textId="77777777" w:rsidR="00E033AC" w:rsidRPr="007F0198" w:rsidRDefault="00E033AC" w:rsidP="00E033AC">
      <w:pPr>
        <w:pStyle w:val="Heading1"/>
      </w:pPr>
      <w:r w:rsidRPr="007F0198">
        <w:t>Scope</w:t>
      </w:r>
    </w:p>
    <w:p w14:paraId="63FA409E" w14:textId="68F508AE" w:rsidR="00E033AC" w:rsidRDefault="00E033AC" w:rsidP="00A44F7D">
      <w:pPr>
        <w:pStyle w:val="-Normal-"/>
        <w:rPr>
          <w:szCs w:val="22"/>
        </w:rPr>
      </w:pPr>
      <w:r w:rsidRPr="00E54589">
        <w:rPr>
          <w:szCs w:val="22"/>
        </w:rPr>
        <w:t xml:space="preserve">This policy applies to all South Australian Government Public Sector </w:t>
      </w:r>
      <w:r w:rsidR="00213591">
        <w:rPr>
          <w:szCs w:val="22"/>
        </w:rPr>
        <w:t>a</w:t>
      </w:r>
      <w:r w:rsidRPr="00E54589">
        <w:rPr>
          <w:szCs w:val="22"/>
        </w:rPr>
        <w:t xml:space="preserve">gencies (as defined in </w:t>
      </w:r>
      <w:hyperlink r:id="rId9" w:history="1">
        <w:r w:rsidRPr="003272A6">
          <w:rPr>
            <w:rStyle w:val="Hyperlink"/>
            <w:rFonts w:cs="Arial"/>
          </w:rPr>
          <w:t>ICT Policy Statement 1 – Compliant Authorities</w:t>
        </w:r>
      </w:hyperlink>
      <w:r w:rsidRPr="00E54589">
        <w:rPr>
          <w:szCs w:val="22"/>
        </w:rPr>
        <w:t>).</w:t>
      </w:r>
    </w:p>
    <w:bookmarkEnd w:id="1"/>
    <w:p w14:paraId="128DCBA9" w14:textId="71AA3037" w:rsidR="00E033AC" w:rsidRPr="00E54589" w:rsidRDefault="00E033AC" w:rsidP="00E033AC">
      <w:pPr>
        <w:pStyle w:val="Heading1"/>
      </w:pPr>
      <w:r w:rsidRPr="00E54589">
        <w:t xml:space="preserve">Policy </w:t>
      </w:r>
      <w:r w:rsidR="00851F1E">
        <w:t>d</w:t>
      </w:r>
      <w:r w:rsidRPr="00E54589">
        <w:t>etail</w:t>
      </w:r>
    </w:p>
    <w:p w14:paraId="1CA1ECE2" w14:textId="386C304F" w:rsidR="007E1552" w:rsidRDefault="00A426DD" w:rsidP="00A426DD">
      <w:pPr>
        <w:spacing w:after="0" w:line="240" w:lineRule="auto"/>
        <w:rPr>
          <w:rFonts w:cs="Arial"/>
        </w:rPr>
      </w:pPr>
      <w:r w:rsidRPr="00B83672">
        <w:rPr>
          <w:rFonts w:cs="Arial"/>
          <w:iCs/>
        </w:rPr>
        <w:t>The</w:t>
      </w:r>
      <w:r>
        <w:rPr>
          <w:rFonts w:cs="Arial"/>
          <w:i/>
        </w:rPr>
        <w:t xml:space="preserve"> </w:t>
      </w:r>
      <w:hyperlink r:id="rId10" w:history="1">
        <w:r w:rsidR="007E1552" w:rsidRPr="00B83672">
          <w:rPr>
            <w:rStyle w:val="Hyperlink"/>
            <w:rFonts w:cs="Arial"/>
            <w:i/>
          </w:rPr>
          <w:t>Information and Communications Technology</w:t>
        </w:r>
        <w:r w:rsidR="007E1552" w:rsidRPr="00B83672">
          <w:rPr>
            <w:rStyle w:val="Hyperlink"/>
            <w:rFonts w:cs="Arial"/>
          </w:rPr>
          <w:t xml:space="preserve"> </w:t>
        </w:r>
        <w:r w:rsidR="00D33DC7" w:rsidRPr="00B83672">
          <w:rPr>
            <w:rStyle w:val="Hyperlink"/>
            <w:rFonts w:cs="Arial"/>
          </w:rPr>
          <w:t>(</w:t>
        </w:r>
        <w:r w:rsidR="00D33DC7" w:rsidRPr="00B83672">
          <w:rPr>
            <w:rStyle w:val="Hyperlink"/>
            <w:rFonts w:cs="Arial"/>
            <w:i/>
          </w:rPr>
          <w:t>ICT)</w:t>
        </w:r>
        <w:r w:rsidR="00B83672" w:rsidRPr="00B83672">
          <w:rPr>
            <w:rStyle w:val="Hyperlink"/>
            <w:rFonts w:cs="Arial"/>
            <w:i/>
          </w:rPr>
          <w:t>,</w:t>
        </w:r>
        <w:r w:rsidR="00D33DC7" w:rsidRPr="00B83672">
          <w:rPr>
            <w:rStyle w:val="Hyperlink"/>
            <w:rFonts w:cs="Arial"/>
            <w:i/>
          </w:rPr>
          <w:t xml:space="preserve"> Cyber Security and Digital Government Strategy </w:t>
        </w:r>
        <w:r w:rsidR="007E1552" w:rsidRPr="00B83672">
          <w:rPr>
            <w:rStyle w:val="Hyperlink"/>
            <w:rFonts w:cs="Arial"/>
            <w:i/>
          </w:rPr>
          <w:t>20</w:t>
        </w:r>
        <w:r w:rsidR="00D33DC7" w:rsidRPr="00B83672">
          <w:rPr>
            <w:rStyle w:val="Hyperlink"/>
            <w:rFonts w:cs="Arial"/>
            <w:i/>
          </w:rPr>
          <w:t>20-2025</w:t>
        </w:r>
      </w:hyperlink>
      <w:r>
        <w:rPr>
          <w:rFonts w:cs="Arial"/>
        </w:rPr>
        <w:t xml:space="preserve"> </w:t>
      </w:r>
      <w:r w:rsidR="007E1552" w:rsidRPr="00E54589">
        <w:rPr>
          <w:rFonts w:cs="Arial"/>
        </w:rPr>
        <w:t xml:space="preserve">sets the strategic direction for the </w:t>
      </w:r>
      <w:r w:rsidR="007E1552">
        <w:rPr>
          <w:rFonts w:cs="Arial"/>
        </w:rPr>
        <w:t>services consumed by the SA Government agencies</w:t>
      </w:r>
      <w:r w:rsidR="007E1552" w:rsidRPr="00E54589">
        <w:rPr>
          <w:rFonts w:cs="Arial"/>
        </w:rPr>
        <w:t xml:space="preserve">, and all agencies are expected to align their </w:t>
      </w:r>
      <w:r w:rsidR="007E1552">
        <w:rPr>
          <w:rFonts w:cs="Arial"/>
        </w:rPr>
        <w:t>strategies, plans</w:t>
      </w:r>
      <w:r w:rsidR="007E1552" w:rsidRPr="00E54589">
        <w:rPr>
          <w:rFonts w:cs="Arial"/>
        </w:rPr>
        <w:t xml:space="preserve"> and activities with this strategic direction </w:t>
      </w:r>
      <w:r w:rsidR="007E1552">
        <w:rPr>
          <w:rFonts w:cs="Arial"/>
        </w:rPr>
        <w:t xml:space="preserve">to ensure optimal outcomes are achieved that </w:t>
      </w:r>
      <w:r w:rsidR="007E1552" w:rsidRPr="00E54589">
        <w:rPr>
          <w:rFonts w:cs="Arial"/>
        </w:rPr>
        <w:t>best serves the people of South Australia.</w:t>
      </w:r>
    </w:p>
    <w:p w14:paraId="1B877602" w14:textId="77777777" w:rsidR="00A426DD" w:rsidRPr="00E54589" w:rsidRDefault="00A426DD" w:rsidP="00A426DD">
      <w:pPr>
        <w:spacing w:after="0" w:line="240" w:lineRule="auto"/>
        <w:rPr>
          <w:rFonts w:cs="Arial"/>
        </w:rPr>
      </w:pPr>
    </w:p>
    <w:p w14:paraId="0B095D8A" w14:textId="4137A36F" w:rsidR="007E1552" w:rsidRPr="00807ED2" w:rsidRDefault="003F0636" w:rsidP="007E1552">
      <w:pPr>
        <w:rPr>
          <w:rFonts w:cs="Arial"/>
        </w:rPr>
      </w:pPr>
      <w:r w:rsidRPr="003F0636">
        <w:rPr>
          <w:rFonts w:cs="Arial"/>
        </w:rPr>
        <w:t>Th</w:t>
      </w:r>
      <w:r w:rsidR="00B83672">
        <w:rPr>
          <w:rFonts w:cs="Arial"/>
        </w:rPr>
        <w:t xml:space="preserve">is Strategy </w:t>
      </w:r>
      <w:r w:rsidR="007E1552">
        <w:rPr>
          <w:rFonts w:cs="Arial"/>
        </w:rPr>
        <w:t xml:space="preserve">provides flexibility to the </w:t>
      </w:r>
      <w:r w:rsidR="007E1552" w:rsidRPr="00E54589">
        <w:rPr>
          <w:rFonts w:cs="Arial"/>
        </w:rPr>
        <w:t xml:space="preserve">agencies to </w:t>
      </w:r>
      <w:r w:rsidR="00D33DC7">
        <w:rPr>
          <w:rFonts w:cs="Arial"/>
        </w:rPr>
        <w:t xml:space="preserve">continue adopting </w:t>
      </w:r>
      <w:r w:rsidR="007E1552">
        <w:rPr>
          <w:rFonts w:cs="Arial"/>
        </w:rPr>
        <w:t xml:space="preserve">cloud </w:t>
      </w:r>
      <w:r w:rsidR="007E1552" w:rsidRPr="00E54589">
        <w:rPr>
          <w:rFonts w:cs="Arial"/>
        </w:rPr>
        <w:t>services</w:t>
      </w:r>
      <w:r w:rsidR="007E1552">
        <w:rPr>
          <w:rFonts w:cs="Arial"/>
        </w:rPr>
        <w:t xml:space="preserve"> where suitable</w:t>
      </w:r>
      <w:r w:rsidR="007E1552" w:rsidRPr="00E54589">
        <w:rPr>
          <w:rFonts w:cs="Arial"/>
        </w:rPr>
        <w:t xml:space="preserve">. This policy makes it clear that </w:t>
      </w:r>
      <w:r w:rsidR="007E1552">
        <w:rPr>
          <w:rFonts w:cs="Arial"/>
        </w:rPr>
        <w:t xml:space="preserve">the Government’s strategic intent is to shift from ‘Cloud Right’ </w:t>
      </w:r>
      <w:r w:rsidR="00D33DC7">
        <w:rPr>
          <w:rFonts w:cs="Arial"/>
        </w:rPr>
        <w:t xml:space="preserve">to a focussed simple and smart services that are accessible and inclusive that improve collaboration in a secure and trusted manner. </w:t>
      </w:r>
    </w:p>
    <w:p w14:paraId="01563CE5" w14:textId="0AD3B58C" w:rsidR="007E1552" w:rsidRPr="00E54589" w:rsidRDefault="007E1552" w:rsidP="008F300C">
      <w:pPr>
        <w:pStyle w:val="-Normal-"/>
      </w:pPr>
      <w:r w:rsidRPr="00E54589">
        <w:t xml:space="preserve">Public Sector </w:t>
      </w:r>
      <w:r w:rsidR="00213591">
        <w:t>a</w:t>
      </w:r>
      <w:r w:rsidRPr="00E54589">
        <w:t xml:space="preserve">gencies </w:t>
      </w:r>
      <w:r>
        <w:t>may</w:t>
      </w:r>
      <w:r w:rsidRPr="00E54589">
        <w:t xml:space="preserve"> evaluate cloud services in ICT sourcing, procurement, or market approach.</w:t>
      </w:r>
    </w:p>
    <w:p w14:paraId="646AD4C9" w14:textId="56002248" w:rsidR="007E1552" w:rsidRPr="00E54589" w:rsidRDefault="007E1552" w:rsidP="008F300C">
      <w:pPr>
        <w:pStyle w:val="-Normal-"/>
      </w:pPr>
      <w:r>
        <w:t>Evaluation must be driven by a</w:t>
      </w:r>
      <w:r w:rsidRPr="00E54589">
        <w:t>gencies business needs, resilience, and risk as part of their evaluation</w:t>
      </w:r>
      <w:r>
        <w:t xml:space="preserve"> and should not be driven </w:t>
      </w:r>
      <w:r w:rsidR="00B83672">
        <w:t>whether</w:t>
      </w:r>
      <w:r>
        <w:t xml:space="preserve"> the solution is in the cloud</w:t>
      </w:r>
      <w:r w:rsidRPr="00E54589">
        <w:t xml:space="preserve">. </w:t>
      </w:r>
    </w:p>
    <w:p w14:paraId="71721AAE" w14:textId="77777777" w:rsidR="007E1552" w:rsidRPr="00E54589" w:rsidRDefault="007E1552" w:rsidP="008F300C">
      <w:pPr>
        <w:pStyle w:val="-Normal-"/>
      </w:pPr>
      <w:r w:rsidRPr="00E54589">
        <w:t xml:space="preserve">Following </w:t>
      </w:r>
      <w:r>
        <w:t>should be considered as a part of the</w:t>
      </w:r>
      <w:r w:rsidRPr="00E54589">
        <w:t xml:space="preserve"> evaluation:</w:t>
      </w:r>
    </w:p>
    <w:p w14:paraId="41766D96" w14:textId="77777777" w:rsidR="007E1552" w:rsidRPr="00E54589" w:rsidRDefault="007E1552" w:rsidP="007E1552">
      <w:pPr>
        <w:pStyle w:val="BodyText2"/>
        <w:numPr>
          <w:ilvl w:val="0"/>
          <w:numId w:val="14"/>
        </w:numPr>
        <w:spacing w:after="120"/>
        <w:ind w:left="714" w:right="-23" w:hanging="357"/>
        <w:rPr>
          <w:rFonts w:cs="Arial"/>
          <w:spacing w:val="-4"/>
          <w:sz w:val="22"/>
          <w:szCs w:val="22"/>
        </w:rPr>
      </w:pPr>
      <w:r w:rsidRPr="00E54589">
        <w:rPr>
          <w:rFonts w:cs="Arial"/>
          <w:spacing w:val="-4"/>
          <w:sz w:val="22"/>
          <w:szCs w:val="22"/>
        </w:rPr>
        <w:t>value for money outcome for government – that is, value for money in terms of innovation and productivity outcomes</w:t>
      </w:r>
    </w:p>
    <w:p w14:paraId="7756EE61" w14:textId="21ED7547" w:rsidR="007E1552" w:rsidRDefault="007E1552" w:rsidP="007E1552">
      <w:pPr>
        <w:pStyle w:val="BodyText2"/>
        <w:numPr>
          <w:ilvl w:val="0"/>
          <w:numId w:val="14"/>
        </w:numPr>
        <w:spacing w:after="240"/>
        <w:ind w:left="714" w:right="-23" w:hanging="357"/>
        <w:rPr>
          <w:rFonts w:cs="Arial"/>
          <w:sz w:val="22"/>
          <w:szCs w:val="22"/>
        </w:rPr>
      </w:pPr>
      <w:r w:rsidRPr="00E54589">
        <w:rPr>
          <w:rFonts w:cs="Arial"/>
          <w:sz w:val="22"/>
          <w:szCs w:val="22"/>
        </w:rPr>
        <w:t xml:space="preserve">government’s obligations under relevant legislation, instructions, policies, standards, and rulings. </w:t>
      </w:r>
    </w:p>
    <w:p w14:paraId="2DB8FAAA" w14:textId="2C750561" w:rsidR="00354F2E" w:rsidRPr="00354F2E" w:rsidRDefault="00354F2E" w:rsidP="00354F2E">
      <w:pPr>
        <w:tabs>
          <w:tab w:val="left" w:pos="2985"/>
        </w:tabs>
        <w:rPr>
          <w:lang w:eastAsia="ar-SA"/>
        </w:rPr>
      </w:pPr>
      <w:r>
        <w:rPr>
          <w:lang w:eastAsia="ar-SA"/>
        </w:rPr>
        <w:tab/>
      </w:r>
    </w:p>
    <w:p w14:paraId="53C7CFA8" w14:textId="4F6877E1" w:rsidR="00E033AC" w:rsidRPr="00E54589" w:rsidRDefault="00E033AC" w:rsidP="00E033AC">
      <w:pPr>
        <w:pStyle w:val="Heading1"/>
        <w:rPr>
          <w:rStyle w:val="Sub-headingChar"/>
          <w:rFonts w:cs="Arial"/>
          <w:b/>
          <w:bCs/>
          <w:szCs w:val="52"/>
        </w:rPr>
      </w:pPr>
      <w:r w:rsidRPr="00E54589">
        <w:lastRenderedPageBreak/>
        <w:t xml:space="preserve">Roles and </w:t>
      </w:r>
      <w:r w:rsidR="00213591">
        <w:t>r</w:t>
      </w:r>
      <w:r w:rsidRPr="00E54589">
        <w:t>esponsibilities</w:t>
      </w:r>
    </w:p>
    <w:p w14:paraId="36B363A6" w14:textId="5C6C55FE" w:rsidR="007E1552" w:rsidRPr="007F0198" w:rsidRDefault="007E1552" w:rsidP="007E1552">
      <w:pPr>
        <w:pStyle w:val="-Normal-"/>
      </w:pPr>
      <w:r w:rsidRPr="007F0198">
        <w:rPr>
          <w:rFonts w:eastAsiaTheme="majorEastAsia" w:cstheme="majorBidi"/>
          <w:b/>
          <w:szCs w:val="26"/>
        </w:rPr>
        <w:t xml:space="preserve">The Chief Executive </w:t>
      </w:r>
      <w:r>
        <w:rPr>
          <w:rFonts w:eastAsiaTheme="majorEastAsia" w:cstheme="majorBidi"/>
          <w:szCs w:val="26"/>
        </w:rPr>
        <w:t xml:space="preserve">of each </w:t>
      </w:r>
      <w:r w:rsidRPr="00E54589">
        <w:rPr>
          <w:szCs w:val="22"/>
        </w:rPr>
        <w:t xml:space="preserve">South Australian Government Public Sector </w:t>
      </w:r>
      <w:r w:rsidR="005C7E4B">
        <w:rPr>
          <w:szCs w:val="22"/>
        </w:rPr>
        <w:t>a</w:t>
      </w:r>
      <w:r w:rsidRPr="00E54589">
        <w:rPr>
          <w:szCs w:val="22"/>
        </w:rPr>
        <w:t xml:space="preserve">gencies (as defined in </w:t>
      </w:r>
      <w:hyperlink r:id="rId11" w:history="1">
        <w:r w:rsidRPr="003272A6">
          <w:rPr>
            <w:rStyle w:val="Hyperlink"/>
            <w:rFonts w:cs="Arial"/>
            <w:i/>
          </w:rPr>
          <w:t>ICT Policy Statement 1 – Compliant Authorities</w:t>
        </w:r>
      </w:hyperlink>
      <w:r>
        <w:rPr>
          <w:szCs w:val="22"/>
        </w:rPr>
        <w:t xml:space="preserve">) </w:t>
      </w:r>
      <w:r w:rsidRPr="007F0198">
        <w:t>is accountable for the effective implementation of the policy within the Department</w:t>
      </w:r>
      <w:r>
        <w:t>.</w:t>
      </w:r>
      <w:r w:rsidRPr="007F0198">
        <w:t xml:space="preserve"> </w:t>
      </w:r>
    </w:p>
    <w:p w14:paraId="1B02B019" w14:textId="77777777" w:rsidR="007E1552" w:rsidRPr="007F0198" w:rsidRDefault="007E1552" w:rsidP="007E1552">
      <w:pPr>
        <w:pStyle w:val="-Normal-"/>
      </w:pPr>
      <w:r w:rsidRPr="007F0198">
        <w:rPr>
          <w:rFonts w:eastAsiaTheme="majorEastAsia" w:cstheme="majorBidi"/>
          <w:b/>
          <w:szCs w:val="26"/>
        </w:rPr>
        <w:t>The Deputy Chief Executives, Executive Directors, Directors and Managers</w:t>
      </w:r>
      <w:r w:rsidRPr="007F0198">
        <w:rPr>
          <w:b/>
        </w:rPr>
        <w:t xml:space="preserve"> </w:t>
      </w:r>
      <w:r w:rsidRPr="007F0198">
        <w:t>are responsible for ensuring</w:t>
      </w:r>
    </w:p>
    <w:p w14:paraId="512A6BEC" w14:textId="77777777" w:rsidR="007E1552" w:rsidRPr="007F0198" w:rsidRDefault="007E1552" w:rsidP="00043956">
      <w:pPr>
        <w:pStyle w:val="ListParagraph"/>
      </w:pPr>
      <w:r w:rsidRPr="007F0198">
        <w:t>the policy is implemented and observed by staff</w:t>
      </w:r>
    </w:p>
    <w:p w14:paraId="637B2974" w14:textId="77777777" w:rsidR="007E1552" w:rsidRPr="007F0198" w:rsidRDefault="007E1552" w:rsidP="00043956">
      <w:pPr>
        <w:pStyle w:val="ListParagraph"/>
      </w:pPr>
      <w:r w:rsidRPr="007F0198">
        <w:t>staff are fully informed of their obligations and responsibilities under the policy, and trained where required</w:t>
      </w:r>
    </w:p>
    <w:p w14:paraId="06F2367D" w14:textId="051B66AE" w:rsidR="007E1552" w:rsidRPr="007F0198" w:rsidRDefault="007E1552" w:rsidP="00043956">
      <w:pPr>
        <w:pStyle w:val="ListParagraph"/>
      </w:pPr>
      <w:r w:rsidRPr="007F0198">
        <w:t xml:space="preserve">contracts and agreements with service </w:t>
      </w:r>
      <w:r>
        <w:t xml:space="preserve">providers require adherence to </w:t>
      </w:r>
      <w:r w:rsidR="005C7E4B">
        <w:t>a</w:t>
      </w:r>
      <w:r>
        <w:t>cross Government policies whilst conducting departmental</w:t>
      </w:r>
      <w:r w:rsidRPr="007F0198">
        <w:t xml:space="preserve"> business</w:t>
      </w:r>
    </w:p>
    <w:p w14:paraId="152109BE" w14:textId="77777777" w:rsidR="007E1552" w:rsidRPr="007F0198" w:rsidRDefault="007E1552" w:rsidP="00043956">
      <w:pPr>
        <w:pStyle w:val="ListParagraph"/>
      </w:pPr>
      <w:r w:rsidRPr="007F0198">
        <w:t>any reporting requirements are met.</w:t>
      </w:r>
    </w:p>
    <w:p w14:paraId="7F4C2F50" w14:textId="4E2CF4CB" w:rsidR="00E033AC" w:rsidRPr="00E54589" w:rsidRDefault="007E1552" w:rsidP="00E033AC">
      <w:pPr>
        <w:pStyle w:val="Heading1"/>
      </w:pPr>
      <w:r>
        <w:t>Related Documents</w:t>
      </w:r>
    </w:p>
    <w:p w14:paraId="27FD02C1" w14:textId="1CB78634" w:rsidR="007E1552" w:rsidRPr="00807ED2" w:rsidRDefault="005165C5" w:rsidP="00043956">
      <w:pPr>
        <w:pStyle w:val="ListParagraph"/>
      </w:pPr>
      <w:hyperlink r:id="rId12" w:history="1">
        <w:r w:rsidR="00A807FB" w:rsidRPr="003272A6">
          <w:rPr>
            <w:rStyle w:val="Hyperlink"/>
          </w:rPr>
          <w:t>Whole of Government ICT</w:t>
        </w:r>
        <w:r w:rsidR="00B83672">
          <w:rPr>
            <w:rStyle w:val="Hyperlink"/>
          </w:rPr>
          <w:t xml:space="preserve">, Cyber Security and Digital Government </w:t>
        </w:r>
        <w:r w:rsidR="00A807FB" w:rsidRPr="003272A6">
          <w:rPr>
            <w:rStyle w:val="Hyperlink"/>
          </w:rPr>
          <w:t>Strategy 20</w:t>
        </w:r>
        <w:r w:rsidR="00D33DC7">
          <w:rPr>
            <w:rStyle w:val="Hyperlink"/>
          </w:rPr>
          <w:t>20-2025</w:t>
        </w:r>
      </w:hyperlink>
    </w:p>
    <w:p w14:paraId="305F6E92" w14:textId="0E96FAEE" w:rsidR="007E1552" w:rsidRPr="00807ED2" w:rsidRDefault="005165C5" w:rsidP="00043956">
      <w:pPr>
        <w:pStyle w:val="ListParagraph"/>
        <w:rPr>
          <w:rStyle w:val="Hyperlink"/>
          <w:color w:val="auto"/>
        </w:rPr>
      </w:pPr>
      <w:hyperlink r:id="rId13" w:history="1">
        <w:r w:rsidR="007E1552" w:rsidRPr="00A807FB">
          <w:rPr>
            <w:rStyle w:val="Hyperlink"/>
          </w:rPr>
          <w:t>NIST Definition of Cloud Computing</w:t>
        </w:r>
      </w:hyperlink>
    </w:p>
    <w:p w14:paraId="5821A351" w14:textId="6823E11C" w:rsidR="007E1552" w:rsidRPr="00367363" w:rsidRDefault="00367363" w:rsidP="00043956">
      <w:pPr>
        <w:pStyle w:val="ListParagraph"/>
        <w:numPr>
          <w:ilvl w:val="0"/>
          <w:numId w:val="16"/>
        </w:numPr>
        <w:rPr>
          <w:rStyle w:val="Hyperlink"/>
        </w:rPr>
      </w:pPr>
      <w:r>
        <w:fldChar w:fldCharType="begin"/>
      </w:r>
      <w:r>
        <w:instrText xml:space="preserve"> HYPERLINK "https://www.dpc.sa.gov.au/responsibilities/ict-digital-cyber-security/policies-and-guidelines/compliance" </w:instrText>
      </w:r>
      <w:r>
        <w:fldChar w:fldCharType="separate"/>
      </w:r>
      <w:r w:rsidR="00A807FB" w:rsidRPr="00367363">
        <w:rPr>
          <w:rStyle w:val="Hyperlink"/>
        </w:rPr>
        <w:t>ICT Policy Statement 1</w:t>
      </w:r>
      <w:r w:rsidR="007E1552" w:rsidRPr="00367363">
        <w:rPr>
          <w:rStyle w:val="Hyperlink"/>
        </w:rPr>
        <w:t>: Compliant Authorities</w:t>
      </w:r>
    </w:p>
    <w:p w14:paraId="1D8330D2" w14:textId="1E43F358" w:rsidR="007E1552" w:rsidRPr="00367363" w:rsidRDefault="00367363" w:rsidP="00043956">
      <w:pPr>
        <w:pStyle w:val="ListParagraph"/>
        <w:numPr>
          <w:ilvl w:val="0"/>
          <w:numId w:val="16"/>
        </w:num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"https://www.dpc.sa.gov.au/responsibilities/ict-digital-cyber-security/policies-and-guidelines/exemption" </w:instrText>
      </w:r>
      <w:r>
        <w:fldChar w:fldCharType="separate"/>
      </w:r>
      <w:r w:rsidR="007E1552" w:rsidRPr="00367363">
        <w:rPr>
          <w:rStyle w:val="Hyperlink"/>
        </w:rPr>
        <w:t>ICT Ruling 1: Governance – Exemptions</w:t>
      </w:r>
    </w:p>
    <w:p w14:paraId="4CF4AC53" w14:textId="013E18B4" w:rsidR="007E1552" w:rsidRPr="00807ED2" w:rsidRDefault="00367363" w:rsidP="00043956">
      <w:pPr>
        <w:pStyle w:val="ListParagraph"/>
        <w:numPr>
          <w:ilvl w:val="0"/>
          <w:numId w:val="16"/>
        </w:numPr>
      </w:pPr>
      <w:r>
        <w:fldChar w:fldCharType="end"/>
      </w:r>
      <w:hyperlink r:id="rId14" w:history="1">
        <w:r w:rsidR="004B220D" w:rsidRPr="004B220D">
          <w:rPr>
            <w:rStyle w:val="Hyperlink"/>
          </w:rPr>
          <w:t>SACSF G3.0 Guideline for Engaging suppliers and cloud security</w:t>
        </w:r>
      </w:hyperlink>
    </w:p>
    <w:p w14:paraId="6183C34B" w14:textId="7F3FB6D7" w:rsidR="007E1552" w:rsidRPr="00807ED2" w:rsidRDefault="007E1552" w:rsidP="00043956">
      <w:pPr>
        <w:pStyle w:val="ListParagraph"/>
      </w:pPr>
      <w:r w:rsidRPr="00807ED2">
        <w:t xml:space="preserve">ISMF Standard 139 – Security in an outsourced environment (found in the </w:t>
      </w:r>
      <w:hyperlink r:id="rId15" w:history="1">
        <w:r w:rsidRPr="003272A6">
          <w:rPr>
            <w:rStyle w:val="Hyperlink"/>
          </w:rPr>
          <w:t>Information Security Management Framework</w:t>
        </w:r>
      </w:hyperlink>
      <w:r w:rsidRPr="00807ED2">
        <w:t>)</w:t>
      </w:r>
    </w:p>
    <w:p w14:paraId="16E7F79B" w14:textId="0500FA28" w:rsidR="007E1552" w:rsidRPr="00807ED2" w:rsidRDefault="005165C5" w:rsidP="00043956">
      <w:pPr>
        <w:pStyle w:val="ListParagraph"/>
      </w:pPr>
      <w:hyperlink r:id="rId16" w:history="1">
        <w:r w:rsidR="00DC40EB" w:rsidRPr="00D33DC7">
          <w:rPr>
            <w:rStyle w:val="Hyperlink"/>
          </w:rPr>
          <w:t>Privacy and Cloud Computing Guideline</w:t>
        </w:r>
        <w:r w:rsidR="007E1552" w:rsidRPr="00D33DC7">
          <w:rPr>
            <w:rStyle w:val="Hyperlink"/>
          </w:rPr>
          <w:t>,</w:t>
        </w:r>
      </w:hyperlink>
      <w:r w:rsidR="007E1552" w:rsidRPr="00807ED2">
        <w:t xml:space="preserve"> Privacy Committee of South Australia</w:t>
      </w:r>
    </w:p>
    <w:p w14:paraId="5C12A33D" w14:textId="2265AAD3" w:rsidR="007E1552" w:rsidRPr="00807ED2" w:rsidRDefault="005165C5" w:rsidP="00043956">
      <w:pPr>
        <w:pStyle w:val="ListParagraph"/>
      </w:pPr>
      <w:hyperlink r:id="rId17" w:history="1">
        <w:r w:rsidR="004B220D" w:rsidRPr="004B220D">
          <w:rPr>
            <w:rStyle w:val="Hyperlink"/>
          </w:rPr>
          <w:t>SACSF Ruling 2 – Storage and processing of South Australian Government information in outsourced or offshore ICT arrangements</w:t>
        </w:r>
      </w:hyperlink>
    </w:p>
    <w:p w14:paraId="520D4243" w14:textId="477FA249" w:rsidR="007E1552" w:rsidRDefault="005165C5" w:rsidP="00043956">
      <w:pPr>
        <w:pStyle w:val="ListParagraph"/>
      </w:pPr>
      <w:hyperlink r:id="rId18" w:history="1">
        <w:r w:rsidR="00DC40EB" w:rsidRPr="003272A6">
          <w:rPr>
            <w:rStyle w:val="Hyperlink"/>
          </w:rPr>
          <w:t>Personal Information Data Breaches</w:t>
        </w:r>
      </w:hyperlink>
      <w:r w:rsidR="007E1552" w:rsidRPr="00807ED2">
        <w:t xml:space="preserve"> (</w:t>
      </w:r>
      <w:r w:rsidR="007E1552">
        <w:t>available to SA Government personnel only)</w:t>
      </w:r>
    </w:p>
    <w:p w14:paraId="4B2ABA1B" w14:textId="77777777" w:rsidR="004A7860" w:rsidRDefault="004A7860" w:rsidP="004A7860">
      <w:pPr>
        <w:pStyle w:val="Heading1"/>
      </w:pPr>
      <w:bookmarkStart w:id="2" w:name="Start"/>
      <w:bookmarkEnd w:id="2"/>
      <w:r w:rsidRPr="007F0198">
        <w:t>Definitions</w:t>
      </w:r>
    </w:p>
    <w:tbl>
      <w:tblPr>
        <w:tblStyle w:val="DPCTable2"/>
        <w:tblW w:w="9781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4A7860" w14:paraId="1C6A304A" w14:textId="77777777" w:rsidTr="00BF5D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  <w:tblHeader/>
        </w:trPr>
        <w:tc>
          <w:tcPr>
            <w:tcW w:w="2835" w:type="dxa"/>
            <w:vAlign w:val="center"/>
          </w:tcPr>
          <w:p w14:paraId="41327639" w14:textId="77777777" w:rsidR="004A7860" w:rsidRPr="00822A3A" w:rsidRDefault="004A7860" w:rsidP="00BF5DBF">
            <w:pPr>
              <w:pStyle w:val="TableHeading1"/>
            </w:pPr>
            <w:bookmarkStart w:id="3" w:name="_Hlk530403112"/>
            <w:r>
              <w:t>Term</w:t>
            </w:r>
          </w:p>
        </w:tc>
        <w:tc>
          <w:tcPr>
            <w:tcW w:w="6946" w:type="dxa"/>
            <w:vAlign w:val="center"/>
          </w:tcPr>
          <w:p w14:paraId="47EE4F6F" w14:textId="77777777" w:rsidR="004A7860" w:rsidRPr="00822A3A" w:rsidRDefault="004A7860" w:rsidP="00BF5DBF">
            <w:pPr>
              <w:pStyle w:val="TableHeading1"/>
            </w:pPr>
            <w:r>
              <w:t>Definition</w:t>
            </w:r>
          </w:p>
        </w:tc>
      </w:tr>
      <w:tr w:rsidR="004A7860" w14:paraId="422D8335" w14:textId="77777777" w:rsidTr="00BF5DBF">
        <w:tc>
          <w:tcPr>
            <w:tcW w:w="2835" w:type="dxa"/>
          </w:tcPr>
          <w:p w14:paraId="30CB4DFE" w14:textId="77777777" w:rsidR="004A7860" w:rsidRPr="003C2BE9" w:rsidRDefault="004A7860" w:rsidP="00BF5DBF">
            <w:pPr>
              <w:pStyle w:val="TableText"/>
              <w:rPr>
                <w:b/>
                <w:bCs/>
                <w:szCs w:val="22"/>
              </w:rPr>
            </w:pPr>
            <w:r w:rsidRPr="003C2BE9">
              <w:rPr>
                <w:b/>
                <w:bCs/>
              </w:rPr>
              <w:t>Cloud Services</w:t>
            </w:r>
          </w:p>
        </w:tc>
        <w:tc>
          <w:tcPr>
            <w:tcW w:w="6946" w:type="dxa"/>
          </w:tcPr>
          <w:p w14:paraId="027BCB37" w14:textId="77777777" w:rsidR="004A7860" w:rsidRPr="00E54589" w:rsidRDefault="004A7860" w:rsidP="00BF5DBF">
            <w:pPr>
              <w:pStyle w:val="-Normal-"/>
            </w:pPr>
            <w:r w:rsidRPr="00E54589">
              <w:t xml:space="preserve">A cloud service allows users of ICT to access a service through a network without the need to acquire, own, and operate dedicated infrastructure, software and facilities.  </w:t>
            </w:r>
          </w:p>
          <w:p w14:paraId="622FAA76" w14:textId="77777777" w:rsidR="004A7860" w:rsidRPr="00E54589" w:rsidRDefault="004A7860" w:rsidP="00BF5DBF">
            <w:pPr>
              <w:pStyle w:val="-Normal-"/>
            </w:pPr>
            <w:r w:rsidRPr="00E54589">
              <w:t xml:space="preserve">Further detail can be found in the </w:t>
            </w:r>
            <w:hyperlink r:id="rId19" w:history="1">
              <w:r w:rsidRPr="00E54589">
                <w:rPr>
                  <w:rStyle w:val="Hyperlink"/>
                  <w:rFonts w:cs="Arial"/>
                  <w:szCs w:val="22"/>
                </w:rPr>
                <w:t>definition of cloud computing</w:t>
              </w:r>
            </w:hyperlink>
            <w:r w:rsidRPr="00E54589">
              <w:t xml:space="preserve"> provided by the United States National Institute of Standards and Technology (NIST). This includes definitions of:</w:t>
            </w:r>
          </w:p>
          <w:p w14:paraId="59AB5486" w14:textId="77777777" w:rsidR="004A7860" w:rsidRPr="00E54589" w:rsidRDefault="004A7860" w:rsidP="00BF5DBF">
            <w:pPr>
              <w:pStyle w:val="ListParagraph"/>
            </w:pPr>
            <w:r w:rsidRPr="00E54589">
              <w:t>essential characteristics of cloud services</w:t>
            </w:r>
          </w:p>
          <w:p w14:paraId="1CD6797D" w14:textId="77777777" w:rsidR="004A7860" w:rsidRPr="00E54589" w:rsidRDefault="004A7860" w:rsidP="00BF5DBF">
            <w:pPr>
              <w:pStyle w:val="ListParagraph"/>
            </w:pPr>
            <w:r w:rsidRPr="00E54589">
              <w:t>service models – e.g. Software as a Service, Platform as a Service, etc.</w:t>
            </w:r>
          </w:p>
          <w:p w14:paraId="6AFF7DF5" w14:textId="77777777" w:rsidR="004A7860" w:rsidRPr="00D410B5" w:rsidRDefault="004A7860" w:rsidP="00BF5DBF">
            <w:pPr>
              <w:pStyle w:val="ListParagraph"/>
            </w:pPr>
            <w:r w:rsidRPr="00E54589">
              <w:t>deployment models – e.g. private cloud, public cloud, hybrid cloud, etc.</w:t>
            </w:r>
          </w:p>
          <w:p w14:paraId="66902021" w14:textId="77777777" w:rsidR="004A7860" w:rsidRPr="004653E5" w:rsidRDefault="004A7860" w:rsidP="00BF5DBF">
            <w:pPr>
              <w:pStyle w:val="TableText"/>
              <w:rPr>
                <w:szCs w:val="22"/>
              </w:rPr>
            </w:pPr>
          </w:p>
        </w:tc>
      </w:tr>
      <w:tr w:rsidR="004A7860" w14:paraId="720BB600" w14:textId="77777777" w:rsidTr="00BF5DBF">
        <w:tc>
          <w:tcPr>
            <w:tcW w:w="2835" w:type="dxa"/>
          </w:tcPr>
          <w:p w14:paraId="670F4D56" w14:textId="77777777" w:rsidR="004A7860" w:rsidRPr="003C2BE9" w:rsidRDefault="004A7860" w:rsidP="00BF5DBF">
            <w:pPr>
              <w:pStyle w:val="TableText"/>
              <w:rPr>
                <w:b/>
                <w:bCs/>
                <w:szCs w:val="22"/>
              </w:rPr>
            </w:pPr>
            <w:r w:rsidRPr="003C2BE9">
              <w:rPr>
                <w:b/>
                <w:bCs/>
                <w:szCs w:val="22"/>
              </w:rPr>
              <w:lastRenderedPageBreak/>
              <w:t>Public Sector Agency</w:t>
            </w:r>
          </w:p>
        </w:tc>
        <w:tc>
          <w:tcPr>
            <w:tcW w:w="6946" w:type="dxa"/>
          </w:tcPr>
          <w:p w14:paraId="5116C837" w14:textId="77777777" w:rsidR="004A7860" w:rsidRPr="004653E5" w:rsidRDefault="004A7860" w:rsidP="00BF5DBF">
            <w:pPr>
              <w:pStyle w:val="TableText"/>
              <w:rPr>
                <w:szCs w:val="22"/>
              </w:rPr>
            </w:pPr>
            <w:r w:rsidRPr="00E54589">
              <w:rPr>
                <w:rFonts w:cs="Arial"/>
              </w:rPr>
              <w:t xml:space="preserve">An internal to government entity, including administrative units, bodies corporate, statutory authorities, and instrumentalities of the Crown, as defined in the </w:t>
            </w:r>
            <w:hyperlink r:id="rId20" w:history="1">
              <w:r w:rsidRPr="00E54589">
                <w:rPr>
                  <w:rStyle w:val="Hyperlink"/>
                  <w:rFonts w:cs="Arial"/>
                  <w:i/>
                </w:rPr>
                <w:t>Public Sector Act 2009 (SA)</w:t>
              </w:r>
            </w:hyperlink>
            <w:r w:rsidRPr="00E54589">
              <w:rPr>
                <w:rFonts w:cs="Arial"/>
              </w:rPr>
              <w:t>.</w:t>
            </w:r>
          </w:p>
        </w:tc>
      </w:tr>
    </w:tbl>
    <w:tbl>
      <w:tblPr>
        <w:tblStyle w:val="DPCTable1"/>
        <w:tblW w:w="9781" w:type="dxa"/>
        <w:tblLook w:val="04A0" w:firstRow="1" w:lastRow="0" w:firstColumn="1" w:lastColumn="0" w:noHBand="0" w:noVBand="1"/>
      </w:tblPr>
      <w:tblGrid>
        <w:gridCol w:w="4683"/>
        <w:gridCol w:w="5098"/>
      </w:tblGrid>
      <w:tr w:rsidR="004A7860" w:rsidRPr="007F0198" w14:paraId="004FE004" w14:textId="77777777" w:rsidTr="00BF5D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tcW w:w="4683" w:type="dxa"/>
            <w:vAlign w:val="center"/>
          </w:tcPr>
          <w:bookmarkEnd w:id="3"/>
          <w:p w14:paraId="46521DE7" w14:textId="77777777" w:rsidR="004A7860" w:rsidRPr="00841039" w:rsidRDefault="004A7860" w:rsidP="00BF5DBF">
            <w:pPr>
              <w:pStyle w:val="Heading1Heading1"/>
              <w:spacing w:before="0" w:after="0"/>
              <w:rPr>
                <w:b/>
              </w:rPr>
            </w:pPr>
            <w:r w:rsidRPr="00F31F8E">
              <w:rPr>
                <w:b/>
              </w:rPr>
              <w:t>DOCUMENT CONTROL</w:t>
            </w:r>
          </w:p>
        </w:tc>
        <w:tc>
          <w:tcPr>
            <w:tcW w:w="5098" w:type="dxa"/>
            <w:vAlign w:val="center"/>
          </w:tcPr>
          <w:p w14:paraId="57520327" w14:textId="77777777" w:rsidR="004A7860" w:rsidRDefault="004A7860" w:rsidP="00BF5DBF">
            <w:pPr>
              <w:pStyle w:val="TableText"/>
              <w:spacing w:before="0" w:after="0"/>
              <w:rPr>
                <w:b w:val="0"/>
              </w:rPr>
            </w:pPr>
          </w:p>
        </w:tc>
      </w:tr>
      <w:tr w:rsidR="004A7860" w:rsidRPr="007F0198" w14:paraId="65EFF541" w14:textId="77777777" w:rsidTr="00BF5DBF">
        <w:tc>
          <w:tcPr>
            <w:tcW w:w="4683" w:type="dxa"/>
          </w:tcPr>
          <w:p w14:paraId="13519BB3" w14:textId="66E546B9" w:rsidR="004A7860" w:rsidRPr="00C02FCF" w:rsidRDefault="004A7860" w:rsidP="00BF5DBF">
            <w:pPr>
              <w:pStyle w:val="TableText"/>
              <w:rPr>
                <w:b/>
              </w:rPr>
            </w:pPr>
            <w:r>
              <w:t xml:space="preserve">Approved by: </w:t>
            </w:r>
            <w:r w:rsidR="00B83672">
              <w:t>OCIO Programs, Projects and Procurement Steering Committee</w:t>
            </w:r>
          </w:p>
        </w:tc>
        <w:tc>
          <w:tcPr>
            <w:tcW w:w="5098" w:type="dxa"/>
          </w:tcPr>
          <w:p w14:paraId="3CCED5E1" w14:textId="5BD96C86" w:rsidR="004A7860" w:rsidRPr="00B83672" w:rsidRDefault="00B83672" w:rsidP="00BF5DBF">
            <w:pPr>
              <w:pStyle w:val="TableText"/>
              <w:rPr>
                <w:bCs/>
              </w:rPr>
            </w:pPr>
            <w:r w:rsidRPr="00B83672">
              <w:rPr>
                <w:bCs/>
              </w:rPr>
              <w:t>Date: 30 August 2022</w:t>
            </w:r>
          </w:p>
        </w:tc>
      </w:tr>
      <w:tr w:rsidR="004A7860" w:rsidRPr="007F0198" w14:paraId="1AD66637" w14:textId="77777777" w:rsidTr="00BF5DBF">
        <w:tc>
          <w:tcPr>
            <w:tcW w:w="4683" w:type="dxa"/>
          </w:tcPr>
          <w:p w14:paraId="41A0ACD5" w14:textId="77777777" w:rsidR="004A7860" w:rsidRPr="00BF02CE" w:rsidRDefault="004A7860" w:rsidP="00BF5DBF">
            <w:pPr>
              <w:pStyle w:val="TableText"/>
              <w:rPr>
                <w:color w:val="auto"/>
              </w:rPr>
            </w:pPr>
            <w:r>
              <w:t>Contact person</w:t>
            </w:r>
            <w:r w:rsidRPr="00C02FCF">
              <w:t>:</w:t>
            </w:r>
            <w:r>
              <w:t xml:space="preserve"> Frank Contestabile</w:t>
            </w:r>
          </w:p>
        </w:tc>
        <w:tc>
          <w:tcPr>
            <w:tcW w:w="5098" w:type="dxa"/>
          </w:tcPr>
          <w:p w14:paraId="4C1348A3" w14:textId="0DFF4AF4" w:rsidR="004A7860" w:rsidRPr="00BF02CE" w:rsidRDefault="004A7860" w:rsidP="00BF5DBF">
            <w:pPr>
              <w:pStyle w:val="TableText"/>
            </w:pPr>
            <w:r w:rsidRPr="00BF02CE">
              <w:t>Telephone:</w:t>
            </w:r>
            <w:r w:rsidR="00B83672">
              <w:rPr>
                <w:color w:val="000000"/>
                <w:lang w:val="en-US"/>
              </w:rPr>
              <w:t xml:space="preserve"> (08) 8429 7055 </w:t>
            </w:r>
          </w:p>
        </w:tc>
      </w:tr>
      <w:tr w:rsidR="004A7860" w:rsidRPr="007F0198" w14:paraId="0E7D5EF3" w14:textId="77777777" w:rsidTr="00BF5DBF">
        <w:tc>
          <w:tcPr>
            <w:tcW w:w="4683" w:type="dxa"/>
          </w:tcPr>
          <w:p w14:paraId="2E1C0D05" w14:textId="77777777" w:rsidR="004A7860" w:rsidRPr="00C02FCF" w:rsidRDefault="004A7860" w:rsidP="00BF5DBF">
            <w:pPr>
              <w:pStyle w:val="TableText"/>
            </w:pPr>
            <w:r>
              <w:t>Division</w:t>
            </w:r>
            <w:r w:rsidRPr="00C02FCF">
              <w:t>:</w:t>
            </w:r>
            <w:r>
              <w:t xml:space="preserve"> Cloud Services</w:t>
            </w:r>
          </w:p>
        </w:tc>
        <w:tc>
          <w:tcPr>
            <w:tcW w:w="5098" w:type="dxa"/>
          </w:tcPr>
          <w:p w14:paraId="052C45C6" w14:textId="77777777" w:rsidR="004A7860" w:rsidRPr="00C02FCF" w:rsidRDefault="004A7860" w:rsidP="00BF5DBF">
            <w:pPr>
              <w:pStyle w:val="TableText"/>
            </w:pPr>
            <w:r>
              <w:t>Compliance: Mandatory</w:t>
            </w:r>
          </w:p>
        </w:tc>
      </w:tr>
      <w:tr w:rsidR="004A7860" w:rsidRPr="007F0198" w14:paraId="23B4AE64" w14:textId="77777777" w:rsidTr="00BF5DBF">
        <w:tc>
          <w:tcPr>
            <w:tcW w:w="4683" w:type="dxa"/>
          </w:tcPr>
          <w:p w14:paraId="7AB05595" w14:textId="77777777" w:rsidR="004A7860" w:rsidRPr="00C02FCF" w:rsidRDefault="004A7860" w:rsidP="00BF5DBF">
            <w:pPr>
              <w:pStyle w:val="TableText"/>
            </w:pPr>
            <w:r>
              <w:t>Review number</w:t>
            </w:r>
            <w:r w:rsidRPr="00C02FCF">
              <w:t>:</w:t>
            </w:r>
            <w:r>
              <w:t xml:space="preserve"> 2.1</w:t>
            </w:r>
          </w:p>
        </w:tc>
        <w:tc>
          <w:tcPr>
            <w:tcW w:w="5098" w:type="dxa"/>
          </w:tcPr>
          <w:p w14:paraId="59D03601" w14:textId="77777777" w:rsidR="004A7860" w:rsidRPr="00C02FCF" w:rsidRDefault="004A7860" w:rsidP="00BF5DBF">
            <w:pPr>
              <w:pStyle w:val="TableText"/>
            </w:pPr>
            <w:r w:rsidRPr="00C02FCF">
              <w:t>Date of approval:</w:t>
            </w:r>
            <w:r>
              <w:t xml:space="preserve"> April 2015</w:t>
            </w:r>
          </w:p>
        </w:tc>
      </w:tr>
      <w:tr w:rsidR="004A7860" w:rsidRPr="007F0198" w14:paraId="418C9E6A" w14:textId="77777777" w:rsidTr="00BF5DBF">
        <w:tc>
          <w:tcPr>
            <w:tcW w:w="4683" w:type="dxa"/>
          </w:tcPr>
          <w:p w14:paraId="6592E6A0" w14:textId="77777777" w:rsidR="004A7860" w:rsidRPr="00C02FCF" w:rsidRDefault="004A7860" w:rsidP="00BF5DBF">
            <w:pPr>
              <w:pStyle w:val="TableText"/>
            </w:pPr>
            <w:r>
              <w:t>Next review date: August 2024</w:t>
            </w:r>
          </w:p>
        </w:tc>
        <w:tc>
          <w:tcPr>
            <w:tcW w:w="5098" w:type="dxa"/>
          </w:tcPr>
          <w:p w14:paraId="4FA68016" w14:textId="77777777" w:rsidR="004A7860" w:rsidRPr="00C02FCF" w:rsidRDefault="004A7860" w:rsidP="00BF5DBF">
            <w:pPr>
              <w:pStyle w:val="TableText"/>
            </w:pPr>
            <w:r w:rsidRPr="00C02FCF">
              <w:t>Date of review:</w:t>
            </w:r>
            <w:r>
              <w:t xml:space="preserve">  August 2022</w:t>
            </w:r>
          </w:p>
        </w:tc>
      </w:tr>
    </w:tbl>
    <w:p w14:paraId="4AA61ADB" w14:textId="77777777" w:rsidR="004A7860" w:rsidRDefault="004A7860" w:rsidP="004A7860"/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42" w:type="dxa"/>
        </w:tblCellMar>
        <w:tblLook w:val="04A0" w:firstRow="1" w:lastRow="0" w:firstColumn="1" w:lastColumn="0" w:noHBand="0" w:noVBand="1"/>
      </w:tblPr>
      <w:tblGrid>
        <w:gridCol w:w="9075"/>
      </w:tblGrid>
      <w:tr w:rsidR="004A7860" w14:paraId="6386DCAF" w14:textId="77777777" w:rsidTr="00BF5DBF">
        <w:trPr>
          <w:trHeight w:val="170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610EEF" w14:textId="77777777" w:rsidR="004A7860" w:rsidRDefault="004A7860" w:rsidP="00BF5DBF">
            <w:pPr>
              <w:pStyle w:val="BodyText1"/>
            </w:pPr>
            <w:r>
              <w:t>Licence</w:t>
            </w:r>
          </w:p>
        </w:tc>
      </w:tr>
      <w:tr w:rsidR="004A7860" w14:paraId="23EEFAC2" w14:textId="77777777" w:rsidTr="00BF5DBF">
        <w:trPr>
          <w:trHeight w:val="20"/>
        </w:trPr>
        <w:tc>
          <w:tcPr>
            <w:tcW w:w="9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1B10" w14:textId="77777777" w:rsidR="004A7860" w:rsidRPr="00B46B1C" w:rsidRDefault="004A7860" w:rsidP="00BF5DBF">
            <w:pPr>
              <w:spacing w:before="120" w:line="240" w:lineRule="auto"/>
              <w:ind w:left="74"/>
              <w:rPr>
                <w:sz w:val="20"/>
                <w:szCs w:val="20"/>
                <w:lang w:eastAsia="en-AU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598AE965" wp14:editId="4128B29D">
                  <wp:extent cx="838200" cy="295275"/>
                  <wp:effectExtent l="0" t="0" r="0" b="9525"/>
                  <wp:docPr id="1" name="Picture 1" descr="http://i.creativecommons.org/l/by/2.5/au/88x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creativecommons.org/l/by/2.5/au/88x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940776" w14:textId="77777777" w:rsidR="004A7860" w:rsidRPr="00B46B1C" w:rsidRDefault="004A7860" w:rsidP="00BF5DBF">
            <w:pPr>
              <w:spacing w:before="120" w:line="240" w:lineRule="auto"/>
              <w:ind w:left="74"/>
              <w:rPr>
                <w:sz w:val="20"/>
                <w:szCs w:val="20"/>
                <w:lang w:eastAsia="en-AU"/>
              </w:rPr>
            </w:pPr>
            <w:r w:rsidRPr="00B46B1C">
              <w:rPr>
                <w:sz w:val="20"/>
                <w:szCs w:val="20"/>
                <w:lang w:eastAsia="en-AU"/>
              </w:rPr>
              <w:t xml:space="preserve">With the exception of the Government of South Australia brand, logos and any images, this work is licensed under a </w:t>
            </w:r>
            <w:hyperlink r:id="rId23" w:history="1">
              <w:r>
                <w:rPr>
                  <w:rStyle w:val="Hyperlink"/>
                  <w:sz w:val="20"/>
                  <w:szCs w:val="20"/>
                  <w:lang w:eastAsia="en-AU"/>
                </w:rPr>
                <w:t>Creative Commons Attribution (CC BY) 4.0 Licence</w:t>
              </w:r>
            </w:hyperlink>
            <w:r w:rsidRPr="00B46B1C">
              <w:rPr>
                <w:sz w:val="20"/>
                <w:szCs w:val="20"/>
                <w:lang w:eastAsia="en-AU"/>
              </w:rPr>
              <w:t>. To attribute this material, cite the ICT and Digital Government, Department of the Premier and Cabinet, Government of South Australia, 20</w:t>
            </w:r>
            <w:r>
              <w:rPr>
                <w:sz w:val="20"/>
                <w:szCs w:val="20"/>
                <w:lang w:eastAsia="en-AU"/>
              </w:rPr>
              <w:t>22</w:t>
            </w:r>
            <w:r w:rsidRPr="00B46B1C">
              <w:rPr>
                <w:sz w:val="20"/>
                <w:szCs w:val="20"/>
                <w:lang w:eastAsia="en-AU"/>
              </w:rPr>
              <w:t>.</w:t>
            </w:r>
          </w:p>
        </w:tc>
      </w:tr>
    </w:tbl>
    <w:p w14:paraId="2216A37E" w14:textId="77777777" w:rsidR="004A7860" w:rsidRDefault="004A7860" w:rsidP="004A7860">
      <w:pPr>
        <w:rPr>
          <w:rFonts w:eastAsia="Times New Roman"/>
          <w:szCs w:val="24"/>
        </w:rPr>
      </w:pPr>
    </w:p>
    <w:p w14:paraId="5BB50918" w14:textId="77777777" w:rsidR="004A7860" w:rsidRPr="00E54589" w:rsidRDefault="004A7860" w:rsidP="00E033AC">
      <w:pPr>
        <w:rPr>
          <w:rFonts w:cs="Arial"/>
        </w:rPr>
      </w:pPr>
    </w:p>
    <w:sectPr w:rsidR="004A7860" w:rsidRPr="00E54589" w:rsidSect="00F32317">
      <w:headerReference w:type="even" r:id="rId24"/>
      <w:headerReference w:type="default" r:id="rId25"/>
      <w:footerReference w:type="default" r:id="rId26"/>
      <w:headerReference w:type="first" r:id="rId27"/>
      <w:footerReference w:type="first" r:id="rId28"/>
      <w:pgSz w:w="11900" w:h="16840"/>
      <w:pgMar w:top="1418" w:right="1127" w:bottom="426" w:left="993" w:header="0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C0E5" w14:textId="77777777" w:rsidR="005165C5" w:rsidRDefault="005165C5" w:rsidP="00AF7F16">
      <w:r>
        <w:separator/>
      </w:r>
    </w:p>
  </w:endnote>
  <w:endnote w:type="continuationSeparator" w:id="0">
    <w:p w14:paraId="784A86CF" w14:textId="77777777" w:rsidR="005165C5" w:rsidRDefault="005165C5" w:rsidP="00AF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37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5670"/>
    </w:tblGrid>
    <w:tr w:rsidR="00084360" w14:paraId="749F5369" w14:textId="77777777" w:rsidTr="00080651">
      <w:trPr>
        <w:trHeight w:val="290"/>
      </w:trPr>
      <w:tc>
        <w:tcPr>
          <w:tcW w:w="1702" w:type="dxa"/>
          <w:shd w:val="clear" w:color="auto" w:fill="004B88" w:themeFill="text2"/>
          <w:vAlign w:val="center"/>
        </w:tcPr>
        <w:p w14:paraId="283EF57B" w14:textId="77BD676F" w:rsidR="00084360" w:rsidRPr="008011DC" w:rsidRDefault="00084360" w:rsidP="00084360">
          <w:pPr>
            <w:pStyle w:val="Pagenumbers"/>
          </w:pPr>
          <w:r w:rsidRPr="008011DC">
            <w:t xml:space="preserve">Page </w:t>
          </w:r>
          <w:r w:rsidRPr="008011DC">
            <w:fldChar w:fldCharType="begin"/>
          </w:r>
          <w:r w:rsidRPr="008011DC">
            <w:instrText xml:space="preserve"> PAGE </w:instrText>
          </w:r>
          <w:r w:rsidRPr="008011DC">
            <w:fldChar w:fldCharType="separate"/>
          </w:r>
          <w:r w:rsidR="00E2760B">
            <w:rPr>
              <w:noProof/>
            </w:rPr>
            <w:t>2</w:t>
          </w:r>
          <w:r w:rsidRPr="008011DC">
            <w:fldChar w:fldCharType="end"/>
          </w:r>
          <w:r w:rsidRPr="008011DC">
            <w:t xml:space="preserve"> of </w:t>
          </w:r>
          <w:r w:rsidR="00AD4171">
            <w:rPr>
              <w:noProof/>
            </w:rPr>
            <w:fldChar w:fldCharType="begin"/>
          </w:r>
          <w:r w:rsidR="00AD4171">
            <w:rPr>
              <w:noProof/>
            </w:rPr>
            <w:instrText xml:space="preserve"> NUMPAGES </w:instrText>
          </w:r>
          <w:r w:rsidR="00AD4171">
            <w:rPr>
              <w:noProof/>
            </w:rPr>
            <w:fldChar w:fldCharType="separate"/>
          </w:r>
          <w:r w:rsidR="00E2760B">
            <w:rPr>
              <w:noProof/>
            </w:rPr>
            <w:t>3</w:t>
          </w:r>
          <w:r w:rsidR="00AD4171">
            <w:rPr>
              <w:noProof/>
            </w:rPr>
            <w:fldChar w:fldCharType="end"/>
          </w:r>
        </w:p>
      </w:tc>
      <w:tc>
        <w:tcPr>
          <w:tcW w:w="5670" w:type="dxa"/>
          <w:shd w:val="clear" w:color="auto" w:fill="004B88" w:themeFill="text2"/>
          <w:vAlign w:val="center"/>
        </w:tcPr>
        <w:p w14:paraId="125C290B" w14:textId="093EBE72" w:rsidR="00084360" w:rsidRPr="008011DC" w:rsidRDefault="00084360" w:rsidP="00084360">
          <w:pPr>
            <w:pStyle w:val="Pagenumbers"/>
          </w:pPr>
        </w:p>
      </w:tc>
    </w:tr>
  </w:tbl>
  <w:p w14:paraId="1F4FE57C" w14:textId="095CB3F1" w:rsidR="003B5AC0" w:rsidRDefault="00761AF2" w:rsidP="00545EC0">
    <w:pPr>
      <w:pStyle w:val="Footer"/>
      <w:tabs>
        <w:tab w:val="clear" w:pos="4320"/>
        <w:tab w:val="clear" w:pos="8640"/>
      </w:tabs>
      <w:ind w:left="-993" w:right="-1127"/>
    </w:pPr>
    <w:r>
      <w:rPr>
        <w:noProof/>
      </w:rPr>
      <w:drawing>
        <wp:anchor distT="0" distB="0" distL="114300" distR="114300" simplePos="0" relativeHeight="251670528" behindDoc="1" locked="0" layoutInCell="1" allowOverlap="1" wp14:anchorId="6253DB45" wp14:editId="78D17C15">
          <wp:simplePos x="0" y="0"/>
          <wp:positionH relativeFrom="margin">
            <wp:posOffset>161925</wp:posOffset>
          </wp:positionH>
          <wp:positionV relativeFrom="paragraph">
            <wp:posOffset>-352425</wp:posOffset>
          </wp:positionV>
          <wp:extent cx="6679726" cy="795020"/>
          <wp:effectExtent l="0" t="0" r="6985" b="5080"/>
          <wp:wrapNone/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Footer-DPC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9726" cy="795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832" w:rsidRPr="0069384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995D43" wp14:editId="35AFD577">
              <wp:simplePos x="0" y="0"/>
              <wp:positionH relativeFrom="page">
                <wp:posOffset>1123950</wp:posOffset>
              </wp:positionH>
              <wp:positionV relativeFrom="page">
                <wp:align>bottom</wp:align>
              </wp:positionV>
              <wp:extent cx="5040000" cy="360000"/>
              <wp:effectExtent l="0" t="0" r="8255" b="254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FD4D2E" w14:textId="77777777" w:rsidR="00AA1832" w:rsidRDefault="00AA1832" w:rsidP="00AA1832">
                          <w:pPr>
                            <w:jc w:val="center"/>
                          </w:pPr>
                          <w:r w:rsidRPr="007B4FAA">
                            <w:rPr>
                              <w:b/>
                              <w:color w:val="C00000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95D4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88.5pt;margin-top:0;width:396.8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" filled="f" stroked="f" strokeweight=".5pt">
              <v:textbox inset="0,0,0,0">
                <w:txbxContent>
                  <w:p w14:paraId="26FD4D2E" w14:textId="77777777" w:rsidR="00AA1832" w:rsidRDefault="00AA1832" w:rsidP="00AA1832">
                    <w:pPr>
                      <w:jc w:val="center"/>
                    </w:pPr>
                    <w:r w:rsidRPr="007B4FAA">
                      <w:rPr>
                        <w:b/>
                        <w:color w:val="C00000"/>
                        <w:szCs w:val="1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1077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9072"/>
    </w:tblGrid>
    <w:tr w:rsidR="00084360" w:rsidRPr="00084360" w14:paraId="049811CC" w14:textId="77777777" w:rsidTr="00080651">
      <w:trPr>
        <w:trHeight w:val="290"/>
      </w:trPr>
      <w:tc>
        <w:tcPr>
          <w:tcW w:w="1702" w:type="dxa"/>
          <w:shd w:val="clear" w:color="auto" w:fill="004B88" w:themeFill="text2"/>
          <w:vAlign w:val="center"/>
        </w:tcPr>
        <w:p w14:paraId="4333DB7A" w14:textId="7DF4958E" w:rsidR="00084360" w:rsidRPr="00084360" w:rsidRDefault="00084360" w:rsidP="00084360">
          <w:pPr>
            <w:spacing w:after="0" w:line="240" w:lineRule="auto"/>
            <w:rPr>
              <w:sz w:val="18"/>
              <w:szCs w:val="18"/>
            </w:rPr>
          </w:pPr>
          <w:r w:rsidRPr="00084360">
            <w:rPr>
              <w:sz w:val="18"/>
              <w:szCs w:val="18"/>
            </w:rPr>
            <w:t xml:space="preserve">Page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PAGE </w:instrText>
          </w:r>
          <w:r w:rsidRPr="00084360">
            <w:rPr>
              <w:sz w:val="18"/>
              <w:szCs w:val="18"/>
            </w:rPr>
            <w:fldChar w:fldCharType="separate"/>
          </w:r>
          <w:r w:rsidR="00E2760B">
            <w:rPr>
              <w:noProof/>
              <w:sz w:val="18"/>
              <w:szCs w:val="18"/>
            </w:rPr>
            <w:t>1</w:t>
          </w:r>
          <w:r w:rsidRPr="00084360">
            <w:rPr>
              <w:sz w:val="18"/>
              <w:szCs w:val="18"/>
            </w:rPr>
            <w:fldChar w:fldCharType="end"/>
          </w:r>
          <w:r w:rsidRPr="00084360">
            <w:rPr>
              <w:sz w:val="18"/>
              <w:szCs w:val="18"/>
            </w:rPr>
            <w:t xml:space="preserve"> of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NUMPAGES </w:instrText>
          </w:r>
          <w:r w:rsidRPr="00084360">
            <w:rPr>
              <w:sz w:val="18"/>
              <w:szCs w:val="18"/>
            </w:rPr>
            <w:fldChar w:fldCharType="separate"/>
          </w:r>
          <w:r w:rsidR="00E2760B">
            <w:rPr>
              <w:noProof/>
              <w:sz w:val="18"/>
              <w:szCs w:val="18"/>
            </w:rPr>
            <w:t>3</w:t>
          </w:r>
          <w:r w:rsidRPr="00084360">
            <w:rPr>
              <w:sz w:val="18"/>
              <w:szCs w:val="18"/>
            </w:rPr>
            <w:fldChar w:fldCharType="end"/>
          </w:r>
        </w:p>
      </w:tc>
      <w:tc>
        <w:tcPr>
          <w:tcW w:w="9072" w:type="dxa"/>
          <w:shd w:val="clear" w:color="auto" w:fill="004B88" w:themeFill="text2"/>
          <w:vAlign w:val="center"/>
        </w:tcPr>
        <w:p w14:paraId="3777A8EB" w14:textId="5C5AD596" w:rsidR="00084360" w:rsidRPr="00084360" w:rsidRDefault="00084360" w:rsidP="00084360">
          <w:pPr>
            <w:spacing w:after="0" w:line="240" w:lineRule="auto"/>
            <w:rPr>
              <w:sz w:val="18"/>
              <w:szCs w:val="18"/>
            </w:rPr>
          </w:pPr>
        </w:p>
      </w:tc>
    </w:tr>
  </w:tbl>
  <w:p w14:paraId="58EF6B17" w14:textId="11FC793F" w:rsidR="003B5AC0" w:rsidRDefault="00AA1832" w:rsidP="00AC730E">
    <w:pPr>
      <w:pStyle w:val="Footer"/>
      <w:tabs>
        <w:tab w:val="clear" w:pos="4320"/>
        <w:tab w:val="clear" w:pos="8640"/>
      </w:tabs>
    </w:pPr>
    <w:r w:rsidRPr="0069384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C4104C" wp14:editId="18930320">
              <wp:simplePos x="0" y="0"/>
              <wp:positionH relativeFrom="margin">
                <wp:align>center</wp:align>
              </wp:positionH>
              <wp:positionV relativeFrom="topMargin">
                <wp:posOffset>10286365</wp:posOffset>
              </wp:positionV>
              <wp:extent cx="5040000" cy="360000"/>
              <wp:effectExtent l="0" t="0" r="8255" b="254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8A2A23" w14:textId="77777777" w:rsidR="00AA1832" w:rsidRDefault="00AA1832" w:rsidP="00AA1832">
                          <w:pPr>
                            <w:jc w:val="center"/>
                          </w:pPr>
                          <w:r w:rsidRPr="007B4FAA">
                            <w:rPr>
                              <w:b/>
                              <w:color w:val="C00000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4104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0;margin-top:809.95pt;width:396.85pt;height:28.3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" filled="f" stroked="f" strokeweight=".5pt">
              <v:textbox inset="0,0,0,0">
                <w:txbxContent>
                  <w:p w14:paraId="0D8A2A23" w14:textId="77777777" w:rsidR="00AA1832" w:rsidRDefault="00AA1832" w:rsidP="00AA1832">
                    <w:pPr>
                      <w:jc w:val="center"/>
                    </w:pPr>
                    <w:r w:rsidRPr="007B4FAA">
                      <w:rPr>
                        <w:b/>
                        <w:color w:val="C00000"/>
                        <w:szCs w:val="18"/>
                      </w:rPr>
                      <w:t>OFFICIAL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C601" w14:textId="77777777" w:rsidR="005165C5" w:rsidRDefault="005165C5" w:rsidP="00AF7F16">
      <w:r>
        <w:separator/>
      </w:r>
    </w:p>
  </w:footnote>
  <w:footnote w:type="continuationSeparator" w:id="0">
    <w:p w14:paraId="24420868" w14:textId="77777777" w:rsidR="005165C5" w:rsidRDefault="005165C5" w:rsidP="00AF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1BF1" w14:textId="5D3C8D8D" w:rsidR="00A65F7E" w:rsidRDefault="00A65F7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770F41C5" wp14:editId="096F156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0"/>
              <wp:wrapSquare wrapText="bothSides"/>
              <wp:docPr id="5" name="Text Box 5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E5F4E5" w14:textId="26F09E2E" w:rsidR="00A65F7E" w:rsidRPr="00A65F7E" w:rsidRDefault="00A65F7E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A65F7E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F41C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.05pt;width:34.95pt;height:34.95pt;z-index:2516725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OGZnXQ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0EE5F4E5" w14:textId="26F09E2E" w:rsidR="00A65F7E" w:rsidRPr="00A65F7E" w:rsidRDefault="00A65F7E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A65F7E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07D7" w14:textId="4E618E8C" w:rsidR="00253516" w:rsidRDefault="00A65F7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0FA668AE" wp14:editId="7D3EAE3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0"/>
              <wp:wrapSquare wrapText="bothSides"/>
              <wp:docPr id="6" name="Text Box 6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45B3C6" w14:textId="72D8FAA8" w:rsidR="00A65F7E" w:rsidRPr="00A65F7E" w:rsidRDefault="00A65F7E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A668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.05pt;width:34.95pt;height:34.95pt;z-index:25167360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GTQpH0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2445B3C6" w14:textId="72D8FAA8" w:rsidR="00A65F7E" w:rsidRPr="00A65F7E" w:rsidRDefault="00A65F7E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53516" w:rsidRPr="0069384E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61574C" wp14:editId="105B5A0E">
              <wp:simplePos x="0" y="0"/>
              <wp:positionH relativeFrom="margin">
                <wp:posOffset>438150</wp:posOffset>
              </wp:positionH>
              <wp:positionV relativeFrom="topMargin">
                <wp:posOffset>152400</wp:posOffset>
              </wp:positionV>
              <wp:extent cx="5040000" cy="360000"/>
              <wp:effectExtent l="0" t="0" r="8255" b="254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F764E6" w14:textId="77777777" w:rsidR="00253516" w:rsidRDefault="00253516" w:rsidP="00253516">
                          <w:pPr>
                            <w:jc w:val="center"/>
                          </w:pPr>
                          <w:r w:rsidRPr="007B4FAA">
                            <w:rPr>
                              <w:b/>
                              <w:color w:val="C00000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1574C" id="Text Box 9" o:spid="_x0000_s1028" type="#_x0000_t202" style="position:absolute;margin-left:34.5pt;margin-top:12pt;width:396.8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" filled="f" stroked="f" strokeweight=".5pt">
              <v:textbox inset="0,0,0,0">
                <w:txbxContent>
                  <w:p w14:paraId="29F764E6" w14:textId="77777777" w:rsidR="00253516" w:rsidRDefault="00253516" w:rsidP="00253516">
                    <w:pPr>
                      <w:jc w:val="center"/>
                    </w:pPr>
                    <w:r w:rsidRPr="007B4FAA">
                      <w:rPr>
                        <w:b/>
                        <w:color w:val="C00000"/>
                        <w:szCs w:val="18"/>
                      </w:rPr>
                      <w:t>OFFICIAL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C93" w14:textId="2E946C25" w:rsidR="003B5AC0" w:rsidRDefault="00A65F7E" w:rsidP="00545EC0">
    <w:pPr>
      <w:pStyle w:val="Header"/>
      <w:tabs>
        <w:tab w:val="clear" w:pos="8640"/>
      </w:tabs>
      <w:ind w:left="-993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0F0599A4" wp14:editId="7DA0A2F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39AD54" w14:textId="551CDA80" w:rsidR="00A65F7E" w:rsidRPr="00A65F7E" w:rsidRDefault="00A65F7E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0599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OFFICIAL" style="position:absolute;left:0;text-align:left;margin-left:0;margin-top:.05pt;width:34.95pt;height:34.95pt;z-index:25167155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FV1Y4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0539AD54" w14:textId="551CDA80" w:rsidR="00A65F7E" w:rsidRPr="00A65F7E" w:rsidRDefault="00A65F7E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9384E" w:rsidRPr="0069384E">
      <w:rPr>
        <w:noProof/>
      </w:rPr>
      <w:drawing>
        <wp:anchor distT="0" distB="0" distL="114300" distR="114300" simplePos="0" relativeHeight="251661312" behindDoc="0" locked="0" layoutInCell="1" allowOverlap="1" wp14:anchorId="2B01F9FD" wp14:editId="1D94523E">
          <wp:simplePos x="0" y="0"/>
          <wp:positionH relativeFrom="margin">
            <wp:posOffset>-676275</wp:posOffset>
          </wp:positionH>
          <wp:positionV relativeFrom="paragraph">
            <wp:posOffset>278130</wp:posOffset>
          </wp:positionV>
          <wp:extent cx="7472045" cy="1371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204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84E" w:rsidRPr="0069384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1C18DE" wp14:editId="213503F7">
              <wp:simplePos x="0" y="0"/>
              <wp:positionH relativeFrom="page">
                <wp:posOffset>1334770</wp:posOffset>
              </wp:positionH>
              <wp:positionV relativeFrom="topMargin">
                <wp:posOffset>161925</wp:posOffset>
              </wp:positionV>
              <wp:extent cx="5040000" cy="360000"/>
              <wp:effectExtent l="0" t="0" r="8255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BAADA5" w14:textId="15594DB7" w:rsidR="0069384E" w:rsidRDefault="0069384E" w:rsidP="0069384E">
                          <w:pPr>
                            <w:jc w:val="center"/>
                          </w:pPr>
                          <w:r w:rsidRPr="007B4FAA">
                            <w:rPr>
                              <w:b/>
                              <w:color w:val="C00000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1C18DE" id="Text Box 3" o:spid="_x0000_s1031" type="#_x0000_t202" style="position:absolute;left:0;text-align:left;margin-left:105.1pt;margin-top:12.75pt;width:396.8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" filled="f" stroked="f" strokeweight=".5pt">
              <v:textbox inset="0,0,0,0">
                <w:txbxContent>
                  <w:p w14:paraId="6FBAADA5" w14:textId="15594DB7" w:rsidR="0069384E" w:rsidRDefault="0069384E" w:rsidP="0069384E">
                    <w:pPr>
                      <w:jc w:val="center"/>
                    </w:pPr>
                    <w:r w:rsidRPr="007B4FAA">
                      <w:rPr>
                        <w:b/>
                        <w:color w:val="C00000"/>
                        <w:szCs w:val="18"/>
                      </w:rPr>
                      <w:t>OFFICIAL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CE2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D48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0AB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B2D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8C8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A83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08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4C5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2AC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38D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D56E1"/>
    <w:multiLevelType w:val="hybridMultilevel"/>
    <w:tmpl w:val="864A2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A31BA"/>
    <w:multiLevelType w:val="hybridMultilevel"/>
    <w:tmpl w:val="76481C7E"/>
    <w:lvl w:ilvl="0" w:tplc="66B497A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571AC"/>
    <w:multiLevelType w:val="hybridMultilevel"/>
    <w:tmpl w:val="236E7CE2"/>
    <w:lvl w:ilvl="0" w:tplc="1E866C6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260D8"/>
    <w:multiLevelType w:val="hybridMultilevel"/>
    <w:tmpl w:val="7B2E1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77A69"/>
    <w:multiLevelType w:val="hybridMultilevel"/>
    <w:tmpl w:val="B6AA4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B1399"/>
    <w:multiLevelType w:val="hybridMultilevel"/>
    <w:tmpl w:val="18B07892"/>
    <w:lvl w:ilvl="0" w:tplc="5E0415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95F"/>
    <w:rsid w:val="00025EA1"/>
    <w:rsid w:val="00030D16"/>
    <w:rsid w:val="00043956"/>
    <w:rsid w:val="00060E95"/>
    <w:rsid w:val="00074592"/>
    <w:rsid w:val="00084360"/>
    <w:rsid w:val="000A6202"/>
    <w:rsid w:val="000A7301"/>
    <w:rsid w:val="000C38A7"/>
    <w:rsid w:val="000F4860"/>
    <w:rsid w:val="001043B7"/>
    <w:rsid w:val="001135E1"/>
    <w:rsid w:val="00143C32"/>
    <w:rsid w:val="0014718A"/>
    <w:rsid w:val="001546B9"/>
    <w:rsid w:val="0017021E"/>
    <w:rsid w:val="00172576"/>
    <w:rsid w:val="001A1918"/>
    <w:rsid w:val="001A46FD"/>
    <w:rsid w:val="001D5D67"/>
    <w:rsid w:val="001E0EA8"/>
    <w:rsid w:val="00212870"/>
    <w:rsid w:val="00212945"/>
    <w:rsid w:val="00213591"/>
    <w:rsid w:val="00253516"/>
    <w:rsid w:val="0026074C"/>
    <w:rsid w:val="00284B34"/>
    <w:rsid w:val="00285524"/>
    <w:rsid w:val="00291DD0"/>
    <w:rsid w:val="002A3288"/>
    <w:rsid w:val="002D60F4"/>
    <w:rsid w:val="002E0A93"/>
    <w:rsid w:val="002F166C"/>
    <w:rsid w:val="002F6E4E"/>
    <w:rsid w:val="0031595F"/>
    <w:rsid w:val="003233C4"/>
    <w:rsid w:val="00324804"/>
    <w:rsid w:val="00324C35"/>
    <w:rsid w:val="003272A6"/>
    <w:rsid w:val="00336C9F"/>
    <w:rsid w:val="00336DE8"/>
    <w:rsid w:val="00340461"/>
    <w:rsid w:val="00340780"/>
    <w:rsid w:val="00354F2E"/>
    <w:rsid w:val="00367363"/>
    <w:rsid w:val="00397BB1"/>
    <w:rsid w:val="003B5AC0"/>
    <w:rsid w:val="003E0EC1"/>
    <w:rsid w:val="003F0636"/>
    <w:rsid w:val="003F2DFB"/>
    <w:rsid w:val="00412E2D"/>
    <w:rsid w:val="00417C99"/>
    <w:rsid w:val="00450A47"/>
    <w:rsid w:val="004669FB"/>
    <w:rsid w:val="00477C43"/>
    <w:rsid w:val="00486CFF"/>
    <w:rsid w:val="004A58EB"/>
    <w:rsid w:val="004A7860"/>
    <w:rsid w:val="004B220D"/>
    <w:rsid w:val="004C64D7"/>
    <w:rsid w:val="004D5F40"/>
    <w:rsid w:val="004F23B4"/>
    <w:rsid w:val="004F522E"/>
    <w:rsid w:val="004F536A"/>
    <w:rsid w:val="005079A5"/>
    <w:rsid w:val="005165C5"/>
    <w:rsid w:val="00537998"/>
    <w:rsid w:val="00545EC0"/>
    <w:rsid w:val="005521E0"/>
    <w:rsid w:val="00575358"/>
    <w:rsid w:val="00585FD0"/>
    <w:rsid w:val="0059742B"/>
    <w:rsid w:val="005B045E"/>
    <w:rsid w:val="005C7E4B"/>
    <w:rsid w:val="005F2F62"/>
    <w:rsid w:val="005F3700"/>
    <w:rsid w:val="00621676"/>
    <w:rsid w:val="00634963"/>
    <w:rsid w:val="0064423F"/>
    <w:rsid w:val="006446E4"/>
    <w:rsid w:val="00647083"/>
    <w:rsid w:val="00650882"/>
    <w:rsid w:val="00656BB5"/>
    <w:rsid w:val="00661EB5"/>
    <w:rsid w:val="00663AB2"/>
    <w:rsid w:val="00670778"/>
    <w:rsid w:val="0069384E"/>
    <w:rsid w:val="006A1C31"/>
    <w:rsid w:val="006C0CCF"/>
    <w:rsid w:val="006C5662"/>
    <w:rsid w:val="006D3A4C"/>
    <w:rsid w:val="00701C48"/>
    <w:rsid w:val="0072288E"/>
    <w:rsid w:val="00724E9F"/>
    <w:rsid w:val="0073400D"/>
    <w:rsid w:val="00747C07"/>
    <w:rsid w:val="00750584"/>
    <w:rsid w:val="00752F55"/>
    <w:rsid w:val="00761AF2"/>
    <w:rsid w:val="00764D3F"/>
    <w:rsid w:val="00780AB8"/>
    <w:rsid w:val="00787875"/>
    <w:rsid w:val="007A1000"/>
    <w:rsid w:val="007A7A9E"/>
    <w:rsid w:val="007C3140"/>
    <w:rsid w:val="007E0B34"/>
    <w:rsid w:val="007E0FBE"/>
    <w:rsid w:val="007E1552"/>
    <w:rsid w:val="007F3695"/>
    <w:rsid w:val="007F469B"/>
    <w:rsid w:val="008005B5"/>
    <w:rsid w:val="0084633D"/>
    <w:rsid w:val="0085065A"/>
    <w:rsid w:val="00851F1E"/>
    <w:rsid w:val="0085347D"/>
    <w:rsid w:val="008915D1"/>
    <w:rsid w:val="008A18A5"/>
    <w:rsid w:val="008A46CD"/>
    <w:rsid w:val="008A5B3A"/>
    <w:rsid w:val="008A6C7C"/>
    <w:rsid w:val="008F226D"/>
    <w:rsid w:val="008F300C"/>
    <w:rsid w:val="008F7591"/>
    <w:rsid w:val="00933A1D"/>
    <w:rsid w:val="00937A73"/>
    <w:rsid w:val="00981627"/>
    <w:rsid w:val="00981AD0"/>
    <w:rsid w:val="00996376"/>
    <w:rsid w:val="00997F44"/>
    <w:rsid w:val="009A31FC"/>
    <w:rsid w:val="009D3720"/>
    <w:rsid w:val="009D7060"/>
    <w:rsid w:val="009D7D9A"/>
    <w:rsid w:val="009E32A5"/>
    <w:rsid w:val="00A15919"/>
    <w:rsid w:val="00A15E12"/>
    <w:rsid w:val="00A426DD"/>
    <w:rsid w:val="00A44F7D"/>
    <w:rsid w:val="00A5740B"/>
    <w:rsid w:val="00A65F7E"/>
    <w:rsid w:val="00A807FB"/>
    <w:rsid w:val="00A86F6C"/>
    <w:rsid w:val="00AA11EE"/>
    <w:rsid w:val="00AA1832"/>
    <w:rsid w:val="00AA1AC5"/>
    <w:rsid w:val="00AA6103"/>
    <w:rsid w:val="00AC2019"/>
    <w:rsid w:val="00AC29F2"/>
    <w:rsid w:val="00AC730E"/>
    <w:rsid w:val="00AD26EE"/>
    <w:rsid w:val="00AD4171"/>
    <w:rsid w:val="00AE73F3"/>
    <w:rsid w:val="00AF7F16"/>
    <w:rsid w:val="00B00277"/>
    <w:rsid w:val="00B23F5D"/>
    <w:rsid w:val="00B33A04"/>
    <w:rsid w:val="00B83672"/>
    <w:rsid w:val="00BE1653"/>
    <w:rsid w:val="00BF290B"/>
    <w:rsid w:val="00C33BF3"/>
    <w:rsid w:val="00C850E4"/>
    <w:rsid w:val="00CA03FB"/>
    <w:rsid w:val="00CD4126"/>
    <w:rsid w:val="00CF0B15"/>
    <w:rsid w:val="00D11EDC"/>
    <w:rsid w:val="00D12D6C"/>
    <w:rsid w:val="00D2291D"/>
    <w:rsid w:val="00D33DC7"/>
    <w:rsid w:val="00D50E9E"/>
    <w:rsid w:val="00D542FC"/>
    <w:rsid w:val="00D570B7"/>
    <w:rsid w:val="00D64278"/>
    <w:rsid w:val="00D70FFA"/>
    <w:rsid w:val="00D76CAD"/>
    <w:rsid w:val="00D83B28"/>
    <w:rsid w:val="00D95C4B"/>
    <w:rsid w:val="00DB073B"/>
    <w:rsid w:val="00DB5856"/>
    <w:rsid w:val="00DC40EB"/>
    <w:rsid w:val="00DC513B"/>
    <w:rsid w:val="00DD1AC8"/>
    <w:rsid w:val="00DD358E"/>
    <w:rsid w:val="00E033AC"/>
    <w:rsid w:val="00E101C5"/>
    <w:rsid w:val="00E20E1E"/>
    <w:rsid w:val="00E2182E"/>
    <w:rsid w:val="00E2760B"/>
    <w:rsid w:val="00E401AC"/>
    <w:rsid w:val="00E45F67"/>
    <w:rsid w:val="00E5702C"/>
    <w:rsid w:val="00E61F11"/>
    <w:rsid w:val="00E72A73"/>
    <w:rsid w:val="00E83FBC"/>
    <w:rsid w:val="00EE17F9"/>
    <w:rsid w:val="00F260BF"/>
    <w:rsid w:val="00F27EC5"/>
    <w:rsid w:val="00F32317"/>
    <w:rsid w:val="00F60D07"/>
    <w:rsid w:val="00F83567"/>
    <w:rsid w:val="00F87A29"/>
    <w:rsid w:val="00F87D37"/>
    <w:rsid w:val="00F97D5A"/>
    <w:rsid w:val="00FB2CBE"/>
    <w:rsid w:val="00FB577D"/>
    <w:rsid w:val="00FB5CA4"/>
    <w:rsid w:val="00FD470E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92E3E3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8" w:unhideWhenUsed="1"/>
    <w:lsdException w:name="toc 4" w:semiHidden="1" w:uiPriority="38" w:unhideWhenUsed="1"/>
    <w:lsdException w:name="toc 5" w:semiHidden="1" w:uiPriority="38" w:unhideWhenUsed="1"/>
    <w:lsdException w:name="toc 6" w:semiHidden="1" w:uiPriority="38" w:unhideWhenUsed="1"/>
    <w:lsdException w:name="toc 7" w:semiHidden="1" w:uiPriority="38" w:unhideWhenUsed="1"/>
    <w:lsdException w:name="toc 8" w:semiHidden="1" w:uiPriority="38" w:unhideWhenUsed="1"/>
    <w:lsdException w:name="toc 9" w:semiHidden="1" w:uiPriority="38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1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0"/>
    <w:lsdException w:name="Table Theme" w:semiHidden="1" w:uiPriority="99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0" w:qFormat="1"/>
    <w:lsdException w:name="Quote" w:uiPriority="28"/>
    <w:lsdException w:name="Intense 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0"/>
    <w:lsdException w:name="Subtle Reference" w:uiPriority="30"/>
    <w:lsdException w:name="Intense Reference" w:uiPriority="31"/>
    <w:lsdException w:name="Book Title" w:uiPriority="32"/>
    <w:lsdException w:name="Bibliography" w:semiHidden="1" w:uiPriority="36" w:unhideWhenUsed="1"/>
    <w:lsdException w:name="TOC Heading" w:semiHidden="1" w:uiPriority="39" w:unhideWhenUsed="1" w:qFormat="1"/>
    <w:lsdException w:name="Plain Table 1" w:uiPriority="99"/>
    <w:lsdException w:name="Plain Table 2" w:uiPriority="99"/>
    <w:lsdException w:name="Plain Table 3" w:uiPriority="99"/>
    <w:lsdException w:name="Plain Table 4" w:uiPriority="99"/>
    <w:lsdException w:name="Plain Table 5" w:uiPriority="99"/>
    <w:lsdException w:name="Grid Table Light" w:uiPriority="99"/>
    <w:lsdException w:name="Grid Table 1 Light" w:uiPriority="99"/>
    <w:lsdException w:name="Grid Table 2" w:uiPriority="99"/>
    <w:lsdException w:name="Grid Table 3" w:uiPriority="9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F23B4"/>
    <w:pPr>
      <w:spacing w:after="200" w:line="280" w:lineRule="exact"/>
    </w:pPr>
  </w:style>
  <w:style w:type="paragraph" w:styleId="Heading1">
    <w:name w:val="heading 1"/>
    <w:link w:val="Heading1Char"/>
    <w:autoRedefine/>
    <w:qFormat/>
    <w:rsid w:val="00E033AC"/>
    <w:pPr>
      <w:spacing w:before="320" w:after="120"/>
      <w:ind w:right="-618"/>
      <w:outlineLvl w:val="0"/>
    </w:pPr>
    <w:rPr>
      <w:rFonts w:eastAsia="Times New Roman" w:cs="Times New Roman"/>
      <w:b/>
      <w:bCs/>
      <w:noProof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8"/>
    <w:unhideWhenUsed/>
    <w:qFormat/>
    <w:rsid w:val="00340461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8"/>
    <w:unhideWhenUsed/>
    <w:qFormat/>
    <w:rsid w:val="006C0C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3F3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3AC"/>
    <w:rPr>
      <w:rFonts w:eastAsia="Times New Roman" w:cs="Times New Roman"/>
      <w:b/>
      <w:bCs/>
      <w:noProof/>
      <w:sz w:val="28"/>
    </w:rPr>
  </w:style>
  <w:style w:type="paragraph" w:customStyle="1" w:styleId="IntroParagraph">
    <w:name w:val="Intro Paragraph"/>
    <w:link w:val="IntroParagraphChar"/>
    <w:autoRedefine/>
    <w:qFormat/>
    <w:rsid w:val="00DB073B"/>
    <w:pPr>
      <w:spacing w:before="120" w:after="240"/>
      <w:ind w:right="34"/>
    </w:pPr>
    <w:rPr>
      <w:rFonts w:eastAsia="Times New Roman" w:cs="Times New Roman"/>
      <w:color w:val="7F7F7F" w:themeColor="text1" w:themeTint="80"/>
      <w:sz w:val="32"/>
      <w:szCs w:val="30"/>
    </w:rPr>
  </w:style>
  <w:style w:type="paragraph" w:customStyle="1" w:styleId="DPCBodyHeading">
    <w:name w:val="DPC Body Heading"/>
    <w:next w:val="Normal"/>
    <w:autoRedefine/>
    <w:rsid w:val="006C5662"/>
    <w:pPr>
      <w:spacing w:after="240" w:line="280" w:lineRule="atLeast"/>
      <w:ind w:right="-618"/>
    </w:pPr>
    <w:rPr>
      <w:rFonts w:eastAsiaTheme="majorEastAsia" w:cstheme="majorBidi"/>
      <w:bCs/>
      <w:sz w:val="20"/>
      <w:szCs w:val="20"/>
    </w:rPr>
  </w:style>
  <w:style w:type="paragraph" w:customStyle="1" w:styleId="-Normal-">
    <w:name w:val="-Normal-"/>
    <w:autoRedefine/>
    <w:qFormat/>
    <w:rsid w:val="00A44F7D"/>
    <w:pPr>
      <w:spacing w:before="200" w:after="200" w:line="280" w:lineRule="exact"/>
      <w:ind w:right="34"/>
    </w:pPr>
    <w:rPr>
      <w:rFonts w:eastAsia="Times New Roman" w:cs="Times New Roman"/>
      <w:color w:val="000000" w:themeColor="text1"/>
      <w:szCs w:val="20"/>
      <w:lang w:eastAsia="en-AU"/>
    </w:rPr>
  </w:style>
  <w:style w:type="paragraph" w:styleId="Header">
    <w:name w:val="header"/>
    <w:basedOn w:val="Normal"/>
    <w:link w:val="HeaderChar"/>
    <w:uiPriority w:val="98"/>
    <w:unhideWhenUsed/>
    <w:rsid w:val="00AF7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663AB2"/>
  </w:style>
  <w:style w:type="paragraph" w:styleId="Footer">
    <w:name w:val="footer"/>
    <w:basedOn w:val="Normal"/>
    <w:link w:val="FooterChar"/>
    <w:uiPriority w:val="98"/>
    <w:unhideWhenUsed/>
    <w:rsid w:val="00AF7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8"/>
    <w:rsid w:val="00663AB2"/>
  </w:style>
  <w:style w:type="paragraph" w:styleId="BalloonText">
    <w:name w:val="Balloon Text"/>
    <w:basedOn w:val="Normal"/>
    <w:link w:val="BalloonTextChar"/>
    <w:uiPriority w:val="98"/>
    <w:semiHidden/>
    <w:unhideWhenUsed/>
    <w:rsid w:val="00AF7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663AB2"/>
    <w:rPr>
      <w:rFonts w:ascii="Lucida Grande" w:hAnsi="Lucida Grande" w:cs="Lucida Grande"/>
      <w:sz w:val="18"/>
      <w:szCs w:val="18"/>
    </w:rPr>
  </w:style>
  <w:style w:type="paragraph" w:customStyle="1" w:styleId="IntroHeading">
    <w:name w:val="Intro Heading"/>
    <w:autoRedefine/>
    <w:qFormat/>
    <w:rsid w:val="00E101C5"/>
    <w:pPr>
      <w:spacing w:before="240" w:after="120"/>
    </w:pPr>
    <w:rPr>
      <w:rFonts w:eastAsiaTheme="majorEastAsia" w:cs="Times New Roman"/>
      <w:b/>
      <w:bCs/>
      <w:color w:val="595959" w:themeColor="text1" w:themeTint="A6"/>
      <w:sz w:val="32"/>
      <w:szCs w:val="30"/>
    </w:rPr>
  </w:style>
  <w:style w:type="character" w:customStyle="1" w:styleId="IntroParagraphChar">
    <w:name w:val="Intro Paragraph Char"/>
    <w:basedOn w:val="DefaultParagraphFont"/>
    <w:link w:val="IntroParagraph"/>
    <w:rsid w:val="00DB073B"/>
    <w:rPr>
      <w:rFonts w:eastAsia="Times New Roman" w:cs="Times New Roman"/>
      <w:color w:val="7F7F7F" w:themeColor="text1" w:themeTint="80"/>
      <w:sz w:val="32"/>
      <w:szCs w:val="30"/>
    </w:rPr>
  </w:style>
  <w:style w:type="character" w:styleId="Hyperlink">
    <w:name w:val="Hyperlink"/>
    <w:rsid w:val="00FB5CA4"/>
    <w:rPr>
      <w:strike w:val="0"/>
      <w:dstrike w:val="0"/>
      <w:color w:val="3366CC"/>
      <w:u w:val="none"/>
      <w:effect w:val="none"/>
    </w:rPr>
  </w:style>
  <w:style w:type="paragraph" w:customStyle="1" w:styleId="DPCDate">
    <w:name w:val="DPC Date"/>
    <w:basedOn w:val="Heading1"/>
    <w:autoRedefine/>
    <w:rsid w:val="00A86F6C"/>
    <w:pPr>
      <w:spacing w:before="240" w:after="240"/>
    </w:pPr>
    <w:rPr>
      <w:b w:val="0"/>
    </w:rPr>
  </w:style>
  <w:style w:type="table" w:styleId="TableGrid">
    <w:name w:val="Table Grid"/>
    <w:basedOn w:val="TableNormal"/>
    <w:rsid w:val="0041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8"/>
    <w:rsid w:val="00340461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autoRedefine/>
    <w:qFormat/>
    <w:rsid w:val="00F83567"/>
    <w:pPr>
      <w:spacing w:before="360" w:after="360" w:line="240" w:lineRule="auto"/>
      <w:contextualSpacing/>
    </w:pPr>
    <w:rPr>
      <w:rFonts w:eastAsiaTheme="majorEastAsia" w:cstheme="majorBidi"/>
      <w:b/>
      <w:color w:val="004B88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AA6103"/>
    <w:rPr>
      <w:rFonts w:ascii="Arial" w:eastAsiaTheme="majorEastAsia" w:hAnsi="Arial" w:cstheme="majorBidi"/>
      <w:b/>
      <w:color w:val="004B88"/>
      <w:spacing w:val="-10"/>
      <w:kern w:val="28"/>
      <w:sz w:val="52"/>
      <w:szCs w:val="56"/>
    </w:rPr>
  </w:style>
  <w:style w:type="paragraph" w:styleId="ListParagraph">
    <w:name w:val="List Paragraph"/>
    <w:aliases w:val="Bullet Point List"/>
    <w:basedOn w:val="Normal"/>
    <w:link w:val="ListParagraphChar"/>
    <w:autoRedefine/>
    <w:qFormat/>
    <w:rsid w:val="00043956"/>
    <w:pPr>
      <w:numPr>
        <w:numId w:val="2"/>
      </w:numPr>
      <w:spacing w:before="120" w:after="120" w:line="240" w:lineRule="auto"/>
      <w:ind w:left="714" w:hanging="357"/>
    </w:pPr>
    <w:rPr>
      <w:rFonts w:cs="Arial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8"/>
    <w:rsid w:val="00663AB2"/>
    <w:rPr>
      <w:rFonts w:asciiTheme="majorHAnsi" w:eastAsiaTheme="majorEastAsia" w:hAnsiTheme="majorHAnsi" w:cstheme="majorBidi"/>
      <w:color w:val="3F3F3F" w:themeColor="accent1" w:themeShade="7F"/>
    </w:rPr>
  </w:style>
  <w:style w:type="paragraph" w:customStyle="1" w:styleId="NormalText">
    <w:name w:val="Normal Text"/>
    <w:autoRedefine/>
    <w:rsid w:val="002F6E4E"/>
    <w:pPr>
      <w:spacing w:after="200" w:line="280" w:lineRule="exact"/>
      <w:ind w:right="34"/>
    </w:pPr>
    <w:rPr>
      <w:rFonts w:eastAsia="Times New Roman" w:cs="Times New Roman"/>
      <w:szCs w:val="20"/>
    </w:rPr>
  </w:style>
  <w:style w:type="table" w:styleId="PlainTable2">
    <w:name w:val="Plain Table 2"/>
    <w:aliases w:val="DPC Grid Table"/>
    <w:basedOn w:val="TableNormal"/>
    <w:uiPriority w:val="99"/>
    <w:rsid w:val="00417C99"/>
    <w:pPr>
      <w:spacing w:before="80" w:after="80" w:line="280" w:lineRule="exact"/>
    </w:pPr>
    <w:tblPr>
      <w:tblStyleRowBandSize w:val="1"/>
      <w:tblStyleColBandSize w:val="1"/>
      <w:tblBorders>
        <w:top w:val="single" w:sz="12" w:space="0" w:color="auto"/>
        <w:bottom w:val="single" w:sz="6" w:space="0" w:color="auto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rPr>
        <w:rFonts w:ascii="Arial" w:hAnsi="Arial"/>
        <w:b/>
        <w:bCs/>
        <w:sz w:val="22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NumberedList">
    <w:name w:val="Numbered List"/>
    <w:link w:val="NumberedListChar"/>
    <w:qFormat/>
    <w:rsid w:val="003E0EC1"/>
    <w:pPr>
      <w:numPr>
        <w:numId w:val="3"/>
      </w:numPr>
      <w:spacing w:before="200" w:after="240"/>
      <w:ind w:left="714" w:hanging="357"/>
    </w:pPr>
    <w:rPr>
      <w:rFonts w:eastAsia="Times New Roman" w:cs="Times New Roman"/>
      <w:bCs/>
      <w:noProof/>
    </w:rPr>
  </w:style>
  <w:style w:type="character" w:customStyle="1" w:styleId="NumberedListChar">
    <w:name w:val="Numbered List Char"/>
    <w:basedOn w:val="DefaultParagraphFont"/>
    <w:link w:val="NumberedList"/>
    <w:rsid w:val="003E0EC1"/>
    <w:rPr>
      <w:rFonts w:ascii="Arial" w:eastAsia="Times New Roman" w:hAnsi="Arial" w:cs="Times New Roman"/>
      <w:bCs/>
      <w:noProof/>
      <w:sz w:val="22"/>
      <w:szCs w:val="22"/>
    </w:rPr>
  </w:style>
  <w:style w:type="paragraph" w:styleId="TOCHeading">
    <w:name w:val="TOC Heading"/>
    <w:basedOn w:val="Heading1"/>
    <w:next w:val="Normal"/>
    <w:uiPriority w:val="38"/>
    <w:unhideWhenUsed/>
    <w:qFormat/>
    <w:rsid w:val="00E45F67"/>
    <w:pPr>
      <w:keepNext/>
      <w:keepLines/>
      <w:spacing w:before="240" w:after="0"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5F5F5F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link w:val="TOC1Char"/>
    <w:autoRedefine/>
    <w:uiPriority w:val="38"/>
    <w:unhideWhenUsed/>
    <w:rsid w:val="00AD26EE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8"/>
    <w:unhideWhenUsed/>
    <w:rsid w:val="00E45F67"/>
    <w:pPr>
      <w:spacing w:after="100"/>
      <w:ind w:left="220"/>
    </w:pPr>
  </w:style>
  <w:style w:type="paragraph" w:customStyle="1" w:styleId="TOCTitle">
    <w:name w:val="TOC Title"/>
    <w:basedOn w:val="TOC1"/>
    <w:link w:val="TOCTitleChar"/>
    <w:qFormat/>
    <w:rsid w:val="00933A1D"/>
    <w:pPr>
      <w:tabs>
        <w:tab w:val="right" w:leader="dot" w:pos="9629"/>
      </w:tabs>
    </w:pPr>
    <w:rPr>
      <w:b w:val="0"/>
      <w:noProof/>
      <w:sz w:val="28"/>
    </w:rPr>
  </w:style>
  <w:style w:type="paragraph" w:customStyle="1" w:styleId="Bold">
    <w:name w:val="Bold"/>
    <w:basedOn w:val="TOC1"/>
    <w:link w:val="BoldChar"/>
    <w:autoRedefine/>
    <w:qFormat/>
    <w:rsid w:val="00AD26EE"/>
    <w:pPr>
      <w:tabs>
        <w:tab w:val="right" w:leader="dot" w:pos="9629"/>
      </w:tabs>
    </w:pPr>
    <w:rPr>
      <w:noProof/>
      <w:sz w:val="28"/>
    </w:rPr>
  </w:style>
  <w:style w:type="character" w:customStyle="1" w:styleId="TOC1Char">
    <w:name w:val="TOC 1 Char"/>
    <w:basedOn w:val="DefaultParagraphFont"/>
    <w:link w:val="TOC1"/>
    <w:uiPriority w:val="38"/>
    <w:rsid w:val="00663AB2"/>
    <w:rPr>
      <w:b/>
    </w:rPr>
  </w:style>
  <w:style w:type="character" w:customStyle="1" w:styleId="TOCTitleChar">
    <w:name w:val="TOC Title Char"/>
    <w:basedOn w:val="TOC1Char"/>
    <w:link w:val="TOCTitle"/>
    <w:rsid w:val="00933A1D"/>
    <w:rPr>
      <w:rFonts w:ascii="Arial" w:eastAsia="Times New Roman" w:hAnsi="Arial" w:cs="Times New Roman"/>
      <w:b w:val="0"/>
      <w:noProof/>
      <w:sz w:val="28"/>
    </w:rPr>
  </w:style>
  <w:style w:type="character" w:customStyle="1" w:styleId="BoldChar">
    <w:name w:val="Bold Char"/>
    <w:basedOn w:val="TOC1Char"/>
    <w:link w:val="Bold"/>
    <w:rsid w:val="00AD26EE"/>
    <w:rPr>
      <w:rFonts w:ascii="Arial" w:hAnsi="Arial"/>
      <w:b/>
      <w:noProof/>
      <w:sz w:val="28"/>
    </w:rPr>
  </w:style>
  <w:style w:type="paragraph" w:customStyle="1" w:styleId="TOCHeading1">
    <w:name w:val="TOC Heading 1"/>
    <w:basedOn w:val="TOC1"/>
    <w:link w:val="TOCHeading1Char"/>
    <w:qFormat/>
    <w:rsid w:val="00933A1D"/>
    <w:pPr>
      <w:tabs>
        <w:tab w:val="right" w:leader="dot" w:pos="9770"/>
      </w:tabs>
    </w:pPr>
    <w:rPr>
      <w:b w:val="0"/>
      <w:noProof/>
    </w:rPr>
  </w:style>
  <w:style w:type="paragraph" w:customStyle="1" w:styleId="TOCHeading2">
    <w:name w:val="TOC Heading 2"/>
    <w:basedOn w:val="TOC1"/>
    <w:link w:val="TOCHeading2Char"/>
    <w:qFormat/>
    <w:rsid w:val="00933A1D"/>
    <w:pPr>
      <w:tabs>
        <w:tab w:val="right" w:leader="dot" w:pos="9770"/>
      </w:tabs>
    </w:pPr>
  </w:style>
  <w:style w:type="character" w:customStyle="1" w:styleId="TOCHeading1Char">
    <w:name w:val="TOC Heading 1 Char"/>
    <w:basedOn w:val="TOC1Char"/>
    <w:link w:val="TOCHeading1"/>
    <w:rsid w:val="00933A1D"/>
    <w:rPr>
      <w:rFonts w:ascii="Arial" w:eastAsia="Times New Roman" w:hAnsi="Arial" w:cs="Times New Roman"/>
      <w:b w:val="0"/>
      <w:noProof/>
      <w:sz w:val="22"/>
    </w:rPr>
  </w:style>
  <w:style w:type="character" w:customStyle="1" w:styleId="TOCHeading2Char">
    <w:name w:val="TOC Heading 2 Char"/>
    <w:basedOn w:val="TOC1Char"/>
    <w:link w:val="TOCHeading2"/>
    <w:rsid w:val="00933A1D"/>
    <w:rPr>
      <w:rFonts w:ascii="Arial" w:eastAsia="Times New Roman" w:hAnsi="Arial" w:cs="Times New Roman"/>
      <w:b/>
      <w:sz w:val="22"/>
    </w:rPr>
  </w:style>
  <w:style w:type="paragraph" w:customStyle="1" w:styleId="TableHeading1">
    <w:name w:val="Table Heading 1"/>
    <w:link w:val="TableHeading1Char"/>
    <w:qFormat/>
    <w:rsid w:val="005079A5"/>
    <w:pPr>
      <w:spacing w:before="120" w:after="120"/>
    </w:pPr>
    <w:rPr>
      <w:rFonts w:ascii="Arial Bold" w:eastAsia="Times New Roman" w:hAnsi="Arial Bold" w:cs="Times New Roman"/>
      <w:b/>
      <w:bCs/>
      <w:noProof/>
    </w:rPr>
  </w:style>
  <w:style w:type="paragraph" w:customStyle="1" w:styleId="TableHeading2">
    <w:name w:val="Table Heading 2"/>
    <w:link w:val="TableHeading2Char"/>
    <w:rsid w:val="00E83FBC"/>
    <w:pPr>
      <w:framePr w:hSpace="180" w:wrap="around" w:vAnchor="text" w:hAnchor="text" w:y="1"/>
      <w:spacing w:before="240" w:after="240"/>
      <w:suppressOverlap/>
    </w:pPr>
    <w:rPr>
      <w:rFonts w:eastAsia="Times New Roman" w:cs="Times New Roman"/>
      <w:b/>
      <w:szCs w:val="20"/>
    </w:rPr>
  </w:style>
  <w:style w:type="character" w:customStyle="1" w:styleId="TableHeading1Char">
    <w:name w:val="Table Heading 1 Char"/>
    <w:basedOn w:val="DefaultParagraphFont"/>
    <w:link w:val="TableHeading1"/>
    <w:rsid w:val="005079A5"/>
    <w:rPr>
      <w:rFonts w:ascii="Arial Bold" w:eastAsia="Times New Roman" w:hAnsi="Arial Bold" w:cs="Times New Roman"/>
      <w:b/>
      <w:bCs/>
      <w:noProof/>
    </w:rPr>
  </w:style>
  <w:style w:type="character" w:customStyle="1" w:styleId="TableHeading2Char">
    <w:name w:val="Table Heading 2 Char"/>
    <w:basedOn w:val="DefaultParagraphFont"/>
    <w:link w:val="TableHeading2"/>
    <w:rsid w:val="00E83FBC"/>
    <w:rPr>
      <w:rFonts w:eastAsia="Times New Roman" w:cs="Times New Roman"/>
      <w:b/>
      <w:szCs w:val="20"/>
    </w:rPr>
  </w:style>
  <w:style w:type="paragraph" w:customStyle="1" w:styleId="DecimalAligned">
    <w:name w:val="Decimal Aligned"/>
    <w:basedOn w:val="Normal"/>
    <w:uiPriority w:val="40"/>
    <w:qFormat/>
    <w:rsid w:val="008005B5"/>
    <w:pPr>
      <w:tabs>
        <w:tab w:val="decimal" w:pos="360"/>
      </w:tabs>
      <w:spacing w:line="276" w:lineRule="auto"/>
    </w:pPr>
    <w:rPr>
      <w:rFonts w:asciiTheme="minorHAnsi" w:hAnsiTheme="minorHAns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005B5"/>
    <w:pPr>
      <w:spacing w:after="0" w:line="240" w:lineRule="auto"/>
    </w:pPr>
    <w:rPr>
      <w:rFonts w:asciiTheme="minorHAnsi" w:hAnsiTheme="minorHAns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05B5"/>
    <w:rPr>
      <w:rFonts w:asciiTheme="minorHAnsi" w:hAnsiTheme="minorHAnsi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8005B5"/>
    <w:rPr>
      <w:i/>
      <w:iCs/>
    </w:rPr>
  </w:style>
  <w:style w:type="table" w:styleId="LightShading-Accent1">
    <w:name w:val="Light Shading Accent 1"/>
    <w:basedOn w:val="TableNormal"/>
    <w:uiPriority w:val="60"/>
    <w:rsid w:val="008005B5"/>
    <w:rPr>
      <w:rFonts w:asciiTheme="minorHAnsi" w:hAnsiTheme="minorHAnsi"/>
      <w:color w:val="5F5F5F" w:themeColor="accent1" w:themeShade="BF"/>
      <w:lang w:val="en-US"/>
    </w:rPr>
    <w:tblPr>
      <w:tblStyleRowBandSize w:val="1"/>
      <w:tblStyleColBandSize w:val="1"/>
      <w:tblBorders>
        <w:top w:val="single" w:sz="8" w:space="0" w:color="7F7F7F" w:themeColor="accent1"/>
        <w:bottom w:val="single" w:sz="8" w:space="0" w:color="7F7F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1"/>
          <w:left w:val="nil"/>
          <w:bottom w:val="single" w:sz="8" w:space="0" w:color="7F7F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1"/>
          <w:left w:val="nil"/>
          <w:bottom w:val="single" w:sz="8" w:space="0" w:color="7F7F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9D7D9A"/>
    <w:rPr>
      <w:rFonts w:eastAsia="MS Mincho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0A7301"/>
    <w:tblPr>
      <w:tblStyleRowBandSize w:val="1"/>
      <w:tblStyleColBandSize w:val="1"/>
      <w:tblBorders>
        <w:top w:val="single" w:sz="4" w:space="0" w:color="69BBFF" w:themeColor="accent6" w:themeTint="66"/>
        <w:left w:val="single" w:sz="4" w:space="0" w:color="69BBFF" w:themeColor="accent6" w:themeTint="66"/>
        <w:bottom w:val="single" w:sz="4" w:space="0" w:color="69BBFF" w:themeColor="accent6" w:themeTint="66"/>
        <w:right w:val="single" w:sz="4" w:space="0" w:color="69BBFF" w:themeColor="accent6" w:themeTint="66"/>
        <w:insideH w:val="single" w:sz="4" w:space="0" w:color="69BBFF" w:themeColor="accent6" w:themeTint="66"/>
        <w:insideV w:val="single" w:sz="4" w:space="0" w:color="69BB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1E99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99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PCVerticalTable">
    <w:name w:val="DPC Vertical Table"/>
    <w:basedOn w:val="TableNormal"/>
    <w:uiPriority w:val="99"/>
    <w:rsid w:val="00143C32"/>
    <w:pPr>
      <w:spacing w:before="120" w:after="120"/>
    </w:pPr>
    <w:tblPr>
      <w:tblBorders>
        <w:top w:val="single" w:sz="4" w:space="0" w:color="auto"/>
        <w:bottom w:val="single" w:sz="6" w:space="0" w:color="auto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="Arial" w:hAnsi="Arial"/>
        <w:b/>
        <w:color w:val="000000" w:themeColor="text1"/>
        <w:sz w:val="22"/>
      </w:rPr>
      <w:tblPr/>
      <w:tcPr>
        <w:tcBorders>
          <w:top w:val="single" w:sz="12" w:space="0" w:color="auto"/>
          <w:bottom w:val="nil"/>
        </w:tcBorders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rPr>
        <w:rFonts w:ascii="Arial" w:hAnsi="Arial"/>
        <w:b/>
        <w:sz w:val="22"/>
      </w:rPr>
    </w:tblStylePr>
  </w:style>
  <w:style w:type="table" w:styleId="TableTheme">
    <w:name w:val="Table Theme"/>
    <w:basedOn w:val="TableNormal"/>
    <w:uiPriority w:val="99"/>
    <w:semiHidden/>
    <w:unhideWhenUsed/>
    <w:rsid w:val="008915D1"/>
    <w:pPr>
      <w:spacing w:after="20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417C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PCTable2">
    <w:name w:val="DPC Table 2"/>
    <w:basedOn w:val="TableTheme"/>
    <w:uiPriority w:val="99"/>
    <w:rsid w:val="00084360"/>
    <w:pPr>
      <w:spacing w:before="80" w:after="80" w:line="240" w:lineRule="auto"/>
    </w:pPr>
    <w:rPr>
      <w:color w:val="000000" w:themeColor="text1"/>
      <w:szCs w:val="20"/>
      <w:lang w:eastAsia="en-AU"/>
    </w:rPr>
    <w:tblPr>
      <w:tblBorders>
        <w:top w:val="single" w:sz="12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BFBFBF" w:themeColor="background1" w:themeShade="BF"/>
        <w:insideV w:val="none" w:sz="0" w:space="0" w:color="auto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  <w:outlineLvl w:val="9"/>
      </w:pPr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E5E5E5" w:themeFill="accent4" w:themeFillTint="33"/>
      </w:tcPr>
    </w:tblStylePr>
  </w:style>
  <w:style w:type="table" w:customStyle="1" w:styleId="DPCTable1">
    <w:name w:val="DPC Table 1"/>
    <w:basedOn w:val="TableNormal"/>
    <w:uiPriority w:val="99"/>
    <w:rsid w:val="00084360"/>
    <w:pPr>
      <w:spacing w:before="80" w:after="80"/>
    </w:pPr>
    <w:tblPr>
      <w:tblBorders>
        <w:top w:val="single" w:sz="8" w:space="0" w:color="BFBFBF" w:themeColor="background1" w:themeShade="BF"/>
        <w:bottom w:val="single" w:sz="8" w:space="0" w:color="auto"/>
        <w:insideH w:val="single" w:sz="4" w:space="0" w:color="BFBFBF" w:themeColor="background1" w:themeShade="BF"/>
      </w:tblBorders>
    </w:tblPr>
    <w:tblStylePr w:type="firstRow"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ContactsBlock">
    <w:name w:val="Contacts Block"/>
    <w:basedOn w:val="Normal"/>
    <w:link w:val="ContactsBlockChar"/>
    <w:qFormat/>
    <w:rsid w:val="00084360"/>
    <w:pPr>
      <w:spacing w:after="60" w:line="240" w:lineRule="auto"/>
    </w:pPr>
    <w:rPr>
      <w:rFonts w:eastAsia="MS Mincho" w:cs="Times New Roman"/>
      <w:sz w:val="20"/>
      <w:szCs w:val="20"/>
    </w:rPr>
  </w:style>
  <w:style w:type="character" w:customStyle="1" w:styleId="ContactsBlockChar">
    <w:name w:val="Contacts Block Char"/>
    <w:basedOn w:val="DefaultParagraphFont"/>
    <w:link w:val="ContactsBlock"/>
    <w:rsid w:val="00084360"/>
    <w:rPr>
      <w:rFonts w:eastAsia="MS Mincho" w:cs="Times New Roman"/>
      <w:sz w:val="20"/>
      <w:szCs w:val="20"/>
    </w:rPr>
  </w:style>
  <w:style w:type="paragraph" w:customStyle="1" w:styleId="TableTitle">
    <w:name w:val="Table Title"/>
    <w:link w:val="TableTitleChar"/>
    <w:qFormat/>
    <w:rsid w:val="00084360"/>
    <w:pPr>
      <w:spacing w:after="120"/>
    </w:pPr>
    <w:rPr>
      <w:rFonts w:eastAsia="Times New Roman" w:cs="Times New Roman"/>
      <w:b/>
      <w:bCs/>
      <w:noProof/>
      <w:color w:val="404040" w:themeColor="text1" w:themeTint="BF"/>
      <w:sz w:val="24"/>
    </w:rPr>
  </w:style>
  <w:style w:type="table" w:customStyle="1" w:styleId="TableGrid2">
    <w:name w:val="Table Grid2"/>
    <w:basedOn w:val="TableNormal"/>
    <w:next w:val="TableGrid"/>
    <w:uiPriority w:val="59"/>
    <w:rsid w:val="0008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itleChar">
    <w:name w:val="Table Title Char"/>
    <w:basedOn w:val="DefaultParagraphFont"/>
    <w:link w:val="TableTitle"/>
    <w:rsid w:val="00084360"/>
    <w:rPr>
      <w:rFonts w:eastAsia="Times New Roman" w:cs="Times New Roman"/>
      <w:b/>
      <w:bCs/>
      <w:noProof/>
      <w:color w:val="404040" w:themeColor="text1" w:themeTint="BF"/>
      <w:sz w:val="24"/>
    </w:rPr>
  </w:style>
  <w:style w:type="paragraph" w:customStyle="1" w:styleId="Pagenumbers">
    <w:name w:val="Page numbers"/>
    <w:basedOn w:val="Normal"/>
    <w:link w:val="PagenumbersChar"/>
    <w:qFormat/>
    <w:rsid w:val="00084360"/>
    <w:pPr>
      <w:spacing w:after="0" w:line="240" w:lineRule="auto"/>
    </w:pPr>
    <w:rPr>
      <w:sz w:val="18"/>
      <w:szCs w:val="18"/>
    </w:rPr>
  </w:style>
  <w:style w:type="character" w:customStyle="1" w:styleId="PagenumbersChar">
    <w:name w:val="Page numbers Char"/>
    <w:basedOn w:val="DefaultParagraphFont"/>
    <w:link w:val="Pagenumbers"/>
    <w:rsid w:val="00084360"/>
    <w:rPr>
      <w:sz w:val="18"/>
      <w:szCs w:val="18"/>
    </w:rPr>
  </w:style>
  <w:style w:type="paragraph" w:customStyle="1" w:styleId="TableText">
    <w:name w:val="Table Text"/>
    <w:link w:val="TableTextChar"/>
    <w:qFormat/>
    <w:rsid w:val="00084360"/>
    <w:pPr>
      <w:spacing w:before="80" w:after="80"/>
    </w:pPr>
    <w:rPr>
      <w:color w:val="000000" w:themeColor="text1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84360"/>
    <w:rPr>
      <w:color w:val="000000" w:themeColor="text1"/>
      <w:szCs w:val="20"/>
      <w:lang w:eastAsia="en-AU"/>
    </w:rPr>
  </w:style>
  <w:style w:type="character" w:customStyle="1" w:styleId="ListParagraphChar">
    <w:name w:val="List Paragraph Char"/>
    <w:aliases w:val="Bullet Point List Char"/>
    <w:link w:val="ListParagraph"/>
    <w:rsid w:val="00043956"/>
    <w:rPr>
      <w:rFonts w:cs="Arial"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9D7060"/>
    <w:rPr>
      <w:vertAlign w:val="superscript"/>
    </w:rPr>
  </w:style>
  <w:style w:type="paragraph" w:customStyle="1" w:styleId="-Normal1-">
    <w:name w:val="-Normal1-"/>
    <w:autoRedefine/>
    <w:qFormat/>
    <w:rsid w:val="009D7060"/>
    <w:pPr>
      <w:ind w:left="29" w:right="34"/>
    </w:pPr>
    <w:rPr>
      <w:rFonts w:eastAsia="Times New Roman" w:cs="Arial"/>
      <w:color w:val="000000" w:themeColor="text1"/>
      <w:sz w:val="20"/>
      <w:lang w:eastAsia="en-AU"/>
    </w:rPr>
  </w:style>
  <w:style w:type="paragraph" w:customStyle="1" w:styleId="Sub-heading">
    <w:name w:val="Sub-heading"/>
    <w:basedOn w:val="Normal"/>
    <w:link w:val="Sub-headingChar"/>
    <w:qFormat/>
    <w:rsid w:val="00E033AC"/>
    <w:pPr>
      <w:keepNext/>
      <w:keepLines/>
      <w:spacing w:after="0" w:line="240" w:lineRule="auto"/>
      <w:outlineLvl w:val="2"/>
    </w:pPr>
    <w:rPr>
      <w:rFonts w:eastAsiaTheme="majorEastAsia" w:cstheme="majorBidi"/>
      <w:b/>
      <w:bCs/>
      <w:sz w:val="24"/>
      <w:szCs w:val="24"/>
    </w:rPr>
  </w:style>
  <w:style w:type="character" w:customStyle="1" w:styleId="Sub-headingChar">
    <w:name w:val="Sub-heading Char"/>
    <w:basedOn w:val="DefaultParagraphFont"/>
    <w:link w:val="Sub-heading"/>
    <w:rsid w:val="00E033AC"/>
    <w:rPr>
      <w:rFonts w:eastAsiaTheme="majorEastAsia" w:cstheme="majorBidi"/>
      <w:b/>
      <w:bCs/>
      <w:sz w:val="24"/>
      <w:szCs w:val="24"/>
    </w:rPr>
  </w:style>
  <w:style w:type="paragraph" w:customStyle="1" w:styleId="BodyText2">
    <w:name w:val="Body Text2"/>
    <w:basedOn w:val="Normal"/>
    <w:rsid w:val="00E033AC"/>
    <w:pPr>
      <w:suppressAutoHyphens/>
      <w:spacing w:after="170" w:line="240" w:lineRule="auto"/>
      <w:ind w:left="1134"/>
    </w:pPr>
    <w:rPr>
      <w:rFonts w:eastAsia="Times New Roman" w:cs="Times New Roman"/>
      <w:sz w:val="24"/>
      <w:szCs w:val="20"/>
      <w:lang w:eastAsia="ar-SA"/>
    </w:rPr>
  </w:style>
  <w:style w:type="character" w:styleId="FollowedHyperlink">
    <w:name w:val="FollowedHyperlink"/>
    <w:basedOn w:val="DefaultParagraphFont"/>
    <w:uiPriority w:val="98"/>
    <w:semiHidden/>
    <w:unhideWhenUsed/>
    <w:rsid w:val="00A44F7D"/>
    <w:rPr>
      <w:color w:val="7F7F7F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8"/>
    <w:semiHidden/>
    <w:unhideWhenUsed/>
    <w:rsid w:val="00A44F7D"/>
    <w:rPr>
      <w:color w:val="808080"/>
      <w:shd w:val="clear" w:color="auto" w:fill="E6E6E6"/>
    </w:rPr>
  </w:style>
  <w:style w:type="paragraph" w:customStyle="1" w:styleId="BodyText1">
    <w:name w:val="Body Text1"/>
    <w:basedOn w:val="BodyText"/>
    <w:link w:val="BodytextChar"/>
    <w:autoRedefine/>
    <w:rsid w:val="007E1552"/>
    <w:pPr>
      <w:spacing w:after="240" w:line="264" w:lineRule="auto"/>
      <w:ind w:right="-22"/>
    </w:pPr>
    <w:rPr>
      <w:rFonts w:ascii="Myriad Pro" w:eastAsia="Times New Roman" w:hAnsi="Myriad Pro" w:cs="Times New Roman"/>
      <w:bCs/>
      <w:szCs w:val="20"/>
    </w:rPr>
  </w:style>
  <w:style w:type="character" w:customStyle="1" w:styleId="BodytextChar">
    <w:name w:val="Body text Char"/>
    <w:link w:val="BodyText1"/>
    <w:rsid w:val="007E1552"/>
    <w:rPr>
      <w:rFonts w:ascii="Myriad Pro" w:eastAsia="Times New Roman" w:hAnsi="Myriad Pro" w:cs="Times New Roman"/>
      <w:bCs/>
      <w:szCs w:val="20"/>
    </w:rPr>
  </w:style>
  <w:style w:type="paragraph" w:styleId="BodyText">
    <w:name w:val="Body Text"/>
    <w:basedOn w:val="Normal"/>
    <w:link w:val="BodyTextChar0"/>
    <w:uiPriority w:val="98"/>
    <w:semiHidden/>
    <w:unhideWhenUsed/>
    <w:rsid w:val="007E1552"/>
    <w:pPr>
      <w:spacing w:after="120"/>
    </w:pPr>
  </w:style>
  <w:style w:type="character" w:customStyle="1" w:styleId="BodyTextChar0">
    <w:name w:val="Body Text Char"/>
    <w:basedOn w:val="DefaultParagraphFont"/>
    <w:link w:val="BodyText"/>
    <w:uiPriority w:val="98"/>
    <w:semiHidden/>
    <w:rsid w:val="007E1552"/>
  </w:style>
  <w:style w:type="character" w:styleId="UnresolvedMention">
    <w:name w:val="Unresolved Mention"/>
    <w:basedOn w:val="DefaultParagraphFont"/>
    <w:uiPriority w:val="99"/>
    <w:semiHidden/>
    <w:unhideWhenUsed/>
    <w:rsid w:val="003673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8"/>
    <w:semiHidden/>
    <w:unhideWhenUsed/>
    <w:rsid w:val="00D33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unhideWhenUsed/>
    <w:rsid w:val="00D33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D33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unhideWhenUsed/>
    <w:rsid w:val="00D33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D33DC7"/>
    <w:rPr>
      <w:b/>
      <w:bCs/>
      <w:sz w:val="20"/>
      <w:szCs w:val="20"/>
    </w:rPr>
  </w:style>
  <w:style w:type="paragraph" w:customStyle="1" w:styleId="Heading1Heading1">
    <w:name w:val="Heading 1 Heading 1"/>
    <w:next w:val="Normal"/>
    <w:link w:val="Heading1Heading1Char"/>
    <w:qFormat/>
    <w:rsid w:val="004A7860"/>
    <w:pPr>
      <w:spacing w:before="360" w:after="160" w:line="259" w:lineRule="auto"/>
    </w:pPr>
    <w:rPr>
      <w:rFonts w:eastAsiaTheme="minorHAnsi" w:cs="Arial"/>
      <w:b/>
      <w:sz w:val="28"/>
    </w:rPr>
  </w:style>
  <w:style w:type="character" w:customStyle="1" w:styleId="Heading1Heading1Char">
    <w:name w:val="Heading 1 Heading 1 Char"/>
    <w:basedOn w:val="DefaultParagraphFont"/>
    <w:link w:val="Heading1Heading1"/>
    <w:rsid w:val="004A7860"/>
    <w:rPr>
      <w:rFonts w:eastAsiaTheme="minorHAnsi" w:cs="Arial"/>
      <w:b/>
      <w:sz w:val="28"/>
    </w:rPr>
  </w:style>
  <w:style w:type="paragraph" w:styleId="Revision">
    <w:name w:val="Revision"/>
    <w:hidden/>
    <w:uiPriority w:val="99"/>
    <w:semiHidden/>
    <w:rsid w:val="00B8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ist.gov/publications/nist-definition-cloud-computing" TargetMode="External"/><Relationship Id="rId18" Type="http://schemas.openxmlformats.org/officeDocument/2006/relationships/hyperlink" Target="https://www.dpc.sa.gov.au/responsibilities/ict-digital-cyber-security/policies-and-guidelines/data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s://www.dpc.sa.gov.au/responsibilities/ict-digital-cyber-security/ict-cyber-security-digital-strategy/ICT-Cyber-and-Digital-Government-Strategy-Update-for-2021.pdf" TargetMode="External"/><Relationship Id="rId17" Type="http://schemas.openxmlformats.org/officeDocument/2006/relationships/hyperlink" Target="https://www.dpc.sa.gov.au/__data/assets/pdf_file/0016/126115/SACSF-Ruling-2-Storage-processing-information.pdf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pc.sa.gov.au/__data/assets/pdf_file/0013/126103/SACSF-Guideline-3.0-Engaging-Suppliers-and-Cloud-Security-Objective-approved.pdf" TargetMode="External"/><Relationship Id="rId20" Type="http://schemas.openxmlformats.org/officeDocument/2006/relationships/hyperlink" Target="http://www.legislation.sa.gov.au/LZ/C/A/Public%20Sector%20Act%202009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pc.sa.gov.au/responsibilities/ict-digital-cyber-security/policies-and-guidelines/compliance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dpc.sa.gov.au/responsibilities/ict-digital-cyber-security/policies-and-guidelines/security" TargetMode="External"/><Relationship Id="rId23" Type="http://schemas.openxmlformats.org/officeDocument/2006/relationships/hyperlink" Target="http://creativecommons.org/licenses/by/4.0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dpc.sa.gov.au/responsibilities/ict-digital-cyber-security/ict-cyber-security-digital-strategy/ICT-Cyber-and-Digital-Government-Strategy-Update-for-2021.pdf" TargetMode="External"/><Relationship Id="rId19" Type="http://schemas.openxmlformats.org/officeDocument/2006/relationships/hyperlink" Target="https://www.nist.gov/publications/nist-definition-cloud-computin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pc.sa.gov.au/responsibilities/ict-digital-cyber-security/policies-and-guidelines/compliance" TargetMode="External"/><Relationship Id="rId14" Type="http://schemas.openxmlformats.org/officeDocument/2006/relationships/hyperlink" Target="https://www.dpc.sa.gov.au/__data/assets/pdf_file/0013/126103/SACSF-Guideline-3.0-Engaging-Suppliers-and-Cloud-Security-Objective-approved.pdf" TargetMode="External"/><Relationship Id="rId22" Type="http://schemas.openxmlformats.org/officeDocument/2006/relationships/image" Target="http://i.creativecommons.org/l/by/2.5/au/88x31.png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4B88"/>
      </a:dk2>
      <a:lt2>
        <a:srgbClr val="FFFFFF"/>
      </a:lt2>
      <a:accent1>
        <a:srgbClr val="7F7F7F"/>
      </a:accent1>
      <a:accent2>
        <a:srgbClr val="3F3F3F"/>
      </a:accent2>
      <a:accent3>
        <a:srgbClr val="595959"/>
      </a:accent3>
      <a:accent4>
        <a:srgbClr val="7F7F7F"/>
      </a:accent4>
      <a:accent5>
        <a:srgbClr val="7F7F7F"/>
      </a:accent5>
      <a:accent6>
        <a:srgbClr val="004B88"/>
      </a:accent6>
      <a:hlink>
        <a:srgbClr val="004B88"/>
      </a:hlink>
      <a:folHlink>
        <a:srgbClr val="7F7F7F"/>
      </a:folHlink>
    </a:clrScheme>
    <a:fontScheme name="DPC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7308B0169B604BF78408B4824B579E8E" version="1.0.0">
  <systemFields>
    <field name="Objective-Id">
      <value order="0">B121336</value>
    </field>
    <field name="Objective-Title">
      <value order="0">Cloud Services Policy</value>
    </field>
    <field name="Objective-Description">
      <value order="0">To ensure public setor agencies evaluate cloud services in every new or reformed ICT sourcing, procurement, or market approach</value>
    </field>
    <field name="Objective-CreationStamp">
      <value order="0">2017-09-14T04:20:32Z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2020-07-31T00:56:32Z</value>
    </field>
    <field name="Objective-Owner">
      <value order="0">Classified Object</value>
    </field>
    <field name="Objective-Path">
      <value order="0">Objective Global Folder:DIVISIONAL FOLDER STRUCTURE:ICT AND DIGITAL GOVERNMENT:ICTDG - Office for Digital Government:ICT and Digital Policy Management 2018:Policy Documents:Cloud Policy</value>
    </field>
    <field name="Objective-Parent">
      <value order="0">Classified Object</value>
    </field>
    <field name="Objective-State">
      <value order="0">Being Edited</value>
    </field>
    <field name="Objective-VersionId">
      <value order="0">vB1136046</value>
    </field>
    <field name="Objective-Version">
      <value order="0">12.3</value>
    </field>
    <field name="Objective-VersionNumber">
      <value order="0">20</value>
    </field>
    <field name="Objective-VersionComment">
      <value order="0"/>
    </field>
    <field name="Objective-FileNumber">
      <value order="0">DPC18/1106</value>
    </field>
    <field name="Objective-Classification">
      <value order="0"/>
    </field>
    <field name="Objective-Caveats">
      <value order="0"/>
    </field>
  </systemFields>
  <catalogues>
    <catalogue name="DPC Document Type Catalogue" type="type" ori="id:cB64">
      <field name="Objective-Document Type">
        <value order="0">Policy</value>
      </field>
      <field name="Objective-Classification (Confidentiality)">
        <value order="0">OFFICIAL</value>
      </field>
      <field name="Objective-Caveat (IAC)">
        <value order="0"/>
      </field>
      <field name="Objective-Exclusive For (Name)">
        <value order="0"/>
      </field>
      <field name="Objective-Information Management Markers">
        <value order="0"/>
      </field>
      <field name="Objective-Connect Creator">
        <value order="0"/>
      </field>
      <field name="Objective-Division/Unit">
        <value order="0">PPSG - OCICTDT - ICT and Digital Strategy</value>
      </field>
      <field name="Objective-Workgroup">
        <value order="0"/>
      </field>
      <field name="Objective-See">
        <value order="0"/>
      </field>
      <field name="Objective-Open">
        <value order="0"/>
      </field>
      <field name="Objective-Edit">
        <value order="0"/>
      </field>
      <field name="Objective-Add">
        <value order="0"/>
      </field>
      <field name="Objective-No Access">
        <value order="0"/>
      </field>
      <field name="Objective-Privileges Last Updated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308B0169B604BF78408B4824B579E8E"/>
  </ds:schemaRefs>
</ds:datastoreItem>
</file>

<file path=customXml/itemProps2.xml><?xml version="1.0" encoding="utf-8"?>
<ds:datastoreItem xmlns:ds="http://schemas.openxmlformats.org/officeDocument/2006/customXml" ds:itemID="{0BF15B8B-972F-41EF-A694-D94EF943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2022-09-07T04:51:00Z</dcterms:created>
  <dcterms:modified xsi:type="dcterms:W3CDTF">2022-09-07T04:51:00Z</dcterms:modified>
</cp:coreProperties>
</file>